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441391" w14:textId="77777777" w:rsidR="00324A15" w:rsidRDefault="00676DA1">
      <w:pPr>
        <w:pStyle w:val="normal0"/>
      </w:pPr>
      <w:commentRangeStart w:id="0"/>
      <w:r>
        <w:rPr>
          <w:b/>
        </w:rPr>
        <w:t>INTRODUCTION</w:t>
      </w:r>
      <w:commentRangeEnd w:id="0"/>
      <w:r w:rsidR="00B72949">
        <w:rPr>
          <w:rStyle w:val="CommentReference"/>
          <w:rFonts w:asciiTheme="minorHAnsi" w:eastAsiaTheme="minorEastAsia" w:hAnsiTheme="minorHAnsi" w:cstheme="minorBidi"/>
          <w:color w:val="auto"/>
        </w:rPr>
        <w:commentReference w:id="0"/>
      </w:r>
    </w:p>
    <w:p w14:paraId="50AF845B" w14:textId="77777777" w:rsidR="00324A15" w:rsidRDefault="00676DA1">
      <w:pPr>
        <w:pStyle w:val="normal0"/>
      </w:pPr>
      <w:r>
        <w:t xml:space="preserve">When an organism experiences cellular stress in the form of </w:t>
      </w:r>
      <w:proofErr w:type="spellStart"/>
      <w:r>
        <w:t>xenobiotics</w:t>
      </w:r>
      <w:proofErr w:type="spellEnd"/>
      <w:r>
        <w:t>, heat shock, or exposure to pollutants, it responds by an increased expression of certain proteins. Many such proteins come from the heat shock protein family, which has often been studied for its importance in cellular stress response</w:t>
      </w:r>
      <w:r w:rsidR="002642B0">
        <w:t xml:space="preserve"> (Jackson et al 2011)</w:t>
      </w:r>
      <w:r w:rsidR="00A76B2E">
        <w:t xml:space="preserve">. </w:t>
      </w:r>
      <w:r>
        <w:t>This family of proteins is ubiquitously expressed, with some showing stress-induced (stress levels have a positive effect on its expression) behavior while others are constitutively expressed</w:t>
      </w:r>
      <w:r w:rsidR="00DD6725">
        <w:t xml:space="preserve"> (</w:t>
      </w:r>
      <w:proofErr w:type="spellStart"/>
      <w:r w:rsidR="00DD6725">
        <w:t>Tutar</w:t>
      </w:r>
      <w:proofErr w:type="spellEnd"/>
      <w:r w:rsidR="00DD6725">
        <w:t xml:space="preserve"> et al 2006)</w:t>
      </w:r>
      <w:r>
        <w:t xml:space="preserve">. Its initial discovery in the 1960s by F.M. </w:t>
      </w:r>
      <w:proofErr w:type="spellStart"/>
      <w:r>
        <w:t>Ritossa</w:t>
      </w:r>
      <w:proofErr w:type="spellEnd"/>
      <w:r>
        <w:t xml:space="preserve"> was accidental in nature as a mistakenly increased incubation temperature of Drosophila melanogaster and subsequent analysis of chromosomal “puffing” lead to the finding</w:t>
      </w:r>
      <w:r w:rsidR="00DD6725">
        <w:t xml:space="preserve"> (</w:t>
      </w:r>
      <w:proofErr w:type="spellStart"/>
      <w:r w:rsidR="00A76B2E">
        <w:t>Savykoski</w:t>
      </w:r>
      <w:proofErr w:type="spellEnd"/>
      <w:r w:rsidR="00A76B2E">
        <w:t xml:space="preserve"> 2003)</w:t>
      </w:r>
      <w:r>
        <w:t>. The importance of these proteins is that they are universal, being found in both mammals and invertebrates alike. Therefore, the results from these studies done on oyster species can directly be translated to human stress response as well. There have already been various studies done to show that these oysters display increased expression of the hsp70 in the summer relative to winter months</w:t>
      </w:r>
      <w:r w:rsidR="002642B0">
        <w:t xml:space="preserve"> (</w:t>
      </w:r>
      <w:proofErr w:type="spellStart"/>
      <w:r w:rsidR="002642B0">
        <w:t>Hamdoun</w:t>
      </w:r>
      <w:proofErr w:type="spellEnd"/>
      <w:r w:rsidR="002642B0">
        <w:t xml:space="preserve"> et al 2003).</w:t>
      </w:r>
      <w:r w:rsidR="00A76B2E">
        <w:t xml:space="preserve"> </w:t>
      </w:r>
      <w:r>
        <w:t xml:space="preserve">However, the effects on the expression of </w:t>
      </w:r>
      <w:commentRangeStart w:id="1"/>
      <w:r>
        <w:t xml:space="preserve">hsc70 has </w:t>
      </w:r>
      <w:commentRangeEnd w:id="1"/>
      <w:r w:rsidR="00B72949">
        <w:rPr>
          <w:rStyle w:val="CommentReference"/>
          <w:rFonts w:asciiTheme="minorHAnsi" w:eastAsiaTheme="minorEastAsia" w:hAnsiTheme="minorHAnsi" w:cstheme="minorBidi"/>
          <w:color w:val="auto"/>
        </w:rPr>
        <w:commentReference w:id="1"/>
      </w:r>
      <w:r>
        <w:t>not been as well covered, with many jumping to the conclusion that they should respond to stress in a similar way since there is homology between hsp70 and hsc70. With my research I hope to determine the actual differences to stress response between the two proteins across two species of oysters</w:t>
      </w:r>
      <w:r w:rsidR="00A76B2E">
        <w:t xml:space="preserve">, </w:t>
      </w:r>
      <w:proofErr w:type="spellStart"/>
      <w:r w:rsidR="00A76B2E">
        <w:t>Crassostrea</w:t>
      </w:r>
      <w:proofErr w:type="spellEnd"/>
      <w:r w:rsidR="00A76B2E">
        <w:t xml:space="preserve"> </w:t>
      </w:r>
      <w:proofErr w:type="spellStart"/>
      <w:r w:rsidR="00A76B2E">
        <w:t>gigas</w:t>
      </w:r>
      <w:proofErr w:type="spellEnd"/>
      <w:r w:rsidR="00A76B2E">
        <w:t xml:space="preserve"> and </w:t>
      </w:r>
      <w:proofErr w:type="spellStart"/>
      <w:r w:rsidR="00A76B2E">
        <w:t>Ostreola</w:t>
      </w:r>
      <w:proofErr w:type="spellEnd"/>
      <w:r w:rsidR="00A76B2E">
        <w:t xml:space="preserve"> </w:t>
      </w:r>
      <w:proofErr w:type="spellStart"/>
      <w:r w:rsidR="00A76B2E">
        <w:t>conchapila</w:t>
      </w:r>
      <w:proofErr w:type="spellEnd"/>
      <w:r>
        <w:t xml:space="preserve">. </w:t>
      </w:r>
      <w:r>
        <w:rPr>
          <w:highlight w:val="white"/>
        </w:rPr>
        <w:t>Studying the relation between hsp70, hsc70, and temperature rise will help us better understand the mechanics of the stress response of these organisms, which is important because these oysters face constant rise in oceanic temperatures caused by global warming</w:t>
      </w:r>
      <w:r w:rsidR="00BB6E00">
        <w:rPr>
          <w:highlight w:val="white"/>
        </w:rPr>
        <w:t>.</w:t>
      </w:r>
      <w:r>
        <w:rPr>
          <w:highlight w:val="white"/>
        </w:rPr>
        <w:t xml:space="preserve"> </w:t>
      </w:r>
      <w:r w:rsidR="00BB6E00">
        <w:rPr>
          <w:highlight w:val="white"/>
        </w:rPr>
        <w:t>Both of these species m</w:t>
      </w:r>
      <w:r>
        <w:rPr>
          <w:highlight w:val="white"/>
        </w:rPr>
        <w:t xml:space="preserve">ay </w:t>
      </w:r>
      <w:r w:rsidR="0062007C">
        <w:rPr>
          <w:highlight w:val="white"/>
        </w:rPr>
        <w:t>well</w:t>
      </w:r>
      <w:r>
        <w:rPr>
          <w:highlight w:val="white"/>
        </w:rPr>
        <w:t xml:space="preserve"> go extinct</w:t>
      </w:r>
      <w:r w:rsidR="00BB6E00">
        <w:rPr>
          <w:highlight w:val="white"/>
        </w:rPr>
        <w:t xml:space="preserve"> </w:t>
      </w:r>
      <w:r w:rsidR="0062007C">
        <w:rPr>
          <w:highlight w:val="white"/>
        </w:rPr>
        <w:t>in the future. B</w:t>
      </w:r>
      <w:r w:rsidR="00BB6E00">
        <w:rPr>
          <w:highlight w:val="white"/>
        </w:rPr>
        <w:t>y comparing the hsp70 and hsc70 expressions of these two species, we can determine which species is better at dealing with heat stress</w:t>
      </w:r>
      <w:r w:rsidR="0062007C">
        <w:rPr>
          <w:highlight w:val="white"/>
        </w:rPr>
        <w:t xml:space="preserve"> and therefore may be better adapted to survive longer</w:t>
      </w:r>
      <w:r>
        <w:rPr>
          <w:highlight w:val="white"/>
        </w:rPr>
        <w:t>.</w:t>
      </w:r>
    </w:p>
    <w:p w14:paraId="7875795D" w14:textId="77777777" w:rsidR="00324A15" w:rsidRDefault="00324A15">
      <w:pPr>
        <w:pStyle w:val="normal0"/>
      </w:pPr>
    </w:p>
    <w:p w14:paraId="4DBDCA9D" w14:textId="77777777" w:rsidR="00324A15" w:rsidRDefault="00676DA1">
      <w:pPr>
        <w:pStyle w:val="normal0"/>
      </w:pPr>
      <w:r>
        <w:rPr>
          <w:b/>
        </w:rPr>
        <w:t>MATERIALS AND METHODS</w:t>
      </w:r>
    </w:p>
    <w:p w14:paraId="0512BD2F" w14:textId="77777777" w:rsidR="00324A15" w:rsidRDefault="00676DA1">
      <w:pPr>
        <w:pStyle w:val="normal0"/>
      </w:pPr>
      <w:r>
        <w:rPr>
          <w:i/>
        </w:rPr>
        <w:t>RNA Isolation</w:t>
      </w:r>
    </w:p>
    <w:p w14:paraId="3AF066E0" w14:textId="77777777" w:rsidR="00324A15" w:rsidRDefault="00676DA1">
      <w:pPr>
        <w:pStyle w:val="normal0"/>
      </w:pPr>
      <w:r>
        <w:t xml:space="preserve">All oysters tissues were first shucked from their shells and stored in plastic weigh boats on ice. Then two separate samples of gill tissue and a section of mantle tissue were separated from the oyster and stored on ice. Next, scissors and tweezers were used to take approximately 50-100 mg of tissue for the RNA, making sure to sterilize the equipment between samples with </w:t>
      </w:r>
      <w:proofErr w:type="spellStart"/>
      <w:r>
        <w:t>EtOH</w:t>
      </w:r>
      <w:proofErr w:type="spellEnd"/>
      <w:r>
        <w:t xml:space="preserve">, bleach, and water, in that order. These samples were homogenized with 500 </w:t>
      </w:r>
      <w:r>
        <w:rPr>
          <w:highlight w:val="white"/>
        </w:rPr>
        <w:t xml:space="preserve">µL of </w:t>
      </w:r>
      <w:proofErr w:type="spellStart"/>
      <w:r>
        <w:rPr>
          <w:highlight w:val="white"/>
        </w:rPr>
        <w:t>TriReagent</w:t>
      </w:r>
      <w:proofErr w:type="spellEnd"/>
      <w:r>
        <w:rPr>
          <w:highlight w:val="white"/>
        </w:rPr>
        <w:t xml:space="preserve">, with an additional 500 µL of </w:t>
      </w:r>
      <w:proofErr w:type="spellStart"/>
      <w:r>
        <w:rPr>
          <w:highlight w:val="white"/>
        </w:rPr>
        <w:t>TriReagent</w:t>
      </w:r>
      <w:proofErr w:type="spellEnd"/>
      <w:r>
        <w:rPr>
          <w:highlight w:val="white"/>
        </w:rPr>
        <w:t xml:space="preserve"> added afterwards. </w:t>
      </w:r>
    </w:p>
    <w:p w14:paraId="33A77F0F" w14:textId="77777777" w:rsidR="00324A15" w:rsidRDefault="00324A15">
      <w:pPr>
        <w:pStyle w:val="normal0"/>
      </w:pPr>
    </w:p>
    <w:p w14:paraId="3BC23A91" w14:textId="77777777" w:rsidR="00324A15" w:rsidRDefault="00676DA1">
      <w:pPr>
        <w:pStyle w:val="normal0"/>
      </w:pPr>
      <w:r>
        <w:rPr>
          <w:i/>
          <w:highlight w:val="white"/>
        </w:rPr>
        <w:t>RNA Extraction</w:t>
      </w:r>
    </w:p>
    <w:p w14:paraId="254D9788" w14:textId="77777777" w:rsidR="00324A15" w:rsidRDefault="00676DA1">
      <w:pPr>
        <w:pStyle w:val="normal0"/>
      </w:pPr>
      <w:r>
        <w:rPr>
          <w:highlight w:val="white"/>
        </w:rPr>
        <w:t xml:space="preserve">The homogenized solutions were then incubated for 5 minutes at room temperature before adding 200 µL of chloroform and vortex until it became a milky emulsion. Then another 5-minute incubation at room temperature preceded a 15-minute refrigerated microfuge at max speed (13,300g). Only the aqueous phase was transferred to a fresh tube while the rest was discarded in chloroform waste jar. Adding 500 µL of isopropanol and mixing by inverting the tube several times and </w:t>
      </w:r>
      <w:proofErr w:type="spellStart"/>
      <w:r>
        <w:rPr>
          <w:highlight w:val="white"/>
        </w:rPr>
        <w:t>vortexing</w:t>
      </w:r>
      <w:proofErr w:type="spellEnd"/>
      <w:r>
        <w:rPr>
          <w:highlight w:val="white"/>
        </w:rPr>
        <w:t xml:space="preserve"> briefly yielded a uniform solution. A 10-minute incubation at room temperature was carried out, then another max speed refrigerated microfuge for 8 minutes led to the formation of a small white pellet. The supernatant was discarded and 1 mL of 75% </w:t>
      </w:r>
      <w:proofErr w:type="spellStart"/>
      <w:r>
        <w:rPr>
          <w:highlight w:val="white"/>
        </w:rPr>
        <w:t>EtOH</w:t>
      </w:r>
      <w:proofErr w:type="spellEnd"/>
      <w:r>
        <w:rPr>
          <w:highlight w:val="white"/>
        </w:rPr>
        <w:t xml:space="preserve"> </w:t>
      </w:r>
      <w:r>
        <w:rPr>
          <w:highlight w:val="white"/>
        </w:rPr>
        <w:lastRenderedPageBreak/>
        <w:t xml:space="preserve">was added to the pellet and </w:t>
      </w:r>
      <w:proofErr w:type="spellStart"/>
      <w:r>
        <w:rPr>
          <w:highlight w:val="white"/>
        </w:rPr>
        <w:t>vortexed</w:t>
      </w:r>
      <w:proofErr w:type="spellEnd"/>
      <w:r>
        <w:rPr>
          <w:highlight w:val="white"/>
        </w:rPr>
        <w:t>. Then the pellet-</w:t>
      </w:r>
      <w:proofErr w:type="spellStart"/>
      <w:r>
        <w:rPr>
          <w:highlight w:val="white"/>
        </w:rPr>
        <w:t>EtOH</w:t>
      </w:r>
      <w:proofErr w:type="spellEnd"/>
      <w:r>
        <w:rPr>
          <w:highlight w:val="white"/>
        </w:rPr>
        <w:t xml:space="preserve"> mixture was spun in refrigerated microfuge at 7500g for 5 minutes and then the supernatant was removed once again leaving only the pellet intact. As much of the </w:t>
      </w:r>
      <w:proofErr w:type="spellStart"/>
      <w:r>
        <w:rPr>
          <w:highlight w:val="white"/>
        </w:rPr>
        <w:t>EtOH</w:t>
      </w:r>
      <w:proofErr w:type="spellEnd"/>
      <w:r>
        <w:rPr>
          <w:highlight w:val="white"/>
        </w:rPr>
        <w:t xml:space="preserve"> as possible was removed by pooling any residual </w:t>
      </w:r>
      <w:proofErr w:type="spellStart"/>
      <w:r>
        <w:rPr>
          <w:highlight w:val="white"/>
        </w:rPr>
        <w:t>EtOH</w:t>
      </w:r>
      <w:proofErr w:type="spellEnd"/>
      <w:r>
        <w:rPr>
          <w:highlight w:val="white"/>
        </w:rPr>
        <w:t xml:space="preserve"> by briefly spinning in the centrifuge then removing with a small pipette tip and also letting the tube sit for approximately 5 minutes with the top open to allow evaporation. After the pellet was isolated from the </w:t>
      </w:r>
      <w:proofErr w:type="spellStart"/>
      <w:r>
        <w:rPr>
          <w:highlight w:val="white"/>
        </w:rPr>
        <w:t>EtOH</w:t>
      </w:r>
      <w:proofErr w:type="spellEnd"/>
      <w:r>
        <w:rPr>
          <w:highlight w:val="white"/>
        </w:rPr>
        <w:t>, it was dissolved in 100 µL of 0.1% DEPC-H</w:t>
      </w:r>
      <w:r>
        <w:rPr>
          <w:highlight w:val="white"/>
          <w:vertAlign w:val="subscript"/>
        </w:rPr>
        <w:t>2</w:t>
      </w:r>
      <w:r>
        <w:rPr>
          <w:highlight w:val="white"/>
        </w:rPr>
        <w:t>O and incubated in 55°C water bath for 5 minutes until it became a uniform solution. The tube was taken out and flicked a few times to mix then stored in -80°C.</w:t>
      </w:r>
    </w:p>
    <w:p w14:paraId="2CBB017E" w14:textId="77777777" w:rsidR="00324A15" w:rsidRDefault="00324A15">
      <w:pPr>
        <w:pStyle w:val="normal0"/>
      </w:pPr>
    </w:p>
    <w:p w14:paraId="1D350462" w14:textId="77777777" w:rsidR="00324A15" w:rsidRDefault="00676DA1">
      <w:pPr>
        <w:pStyle w:val="normal0"/>
      </w:pPr>
      <w:r>
        <w:rPr>
          <w:i/>
          <w:highlight w:val="white"/>
        </w:rPr>
        <w:t>RNA Quantification and Reverse Transcription</w:t>
      </w:r>
    </w:p>
    <w:p w14:paraId="15F5F3A1" w14:textId="77777777" w:rsidR="00324A15" w:rsidRDefault="00676DA1">
      <w:pPr>
        <w:pStyle w:val="normal0"/>
      </w:pPr>
      <w:r>
        <w:rPr>
          <w:highlight w:val="white"/>
        </w:rPr>
        <w:t xml:space="preserve">The </w:t>
      </w:r>
      <w:proofErr w:type="spellStart"/>
      <w:r>
        <w:rPr>
          <w:highlight w:val="white"/>
        </w:rPr>
        <w:t>nanodrop</w:t>
      </w:r>
      <w:proofErr w:type="spellEnd"/>
      <w:r>
        <w:rPr>
          <w:highlight w:val="white"/>
        </w:rPr>
        <w:t xml:space="preserve"> machine was first zeroed by pipetting 2 µL of 0.1% DEPC-H</w:t>
      </w:r>
      <w:r>
        <w:rPr>
          <w:highlight w:val="white"/>
          <w:vertAlign w:val="subscript"/>
        </w:rPr>
        <w:t>2</w:t>
      </w:r>
      <w:r>
        <w:rPr>
          <w:highlight w:val="white"/>
        </w:rPr>
        <w:t xml:space="preserve">O onto the </w:t>
      </w:r>
      <w:proofErr w:type="spellStart"/>
      <w:r>
        <w:rPr>
          <w:highlight w:val="white"/>
        </w:rPr>
        <w:t>nanodrop</w:t>
      </w:r>
      <w:proofErr w:type="spellEnd"/>
      <w:r>
        <w:rPr>
          <w:highlight w:val="white"/>
        </w:rPr>
        <w:t xml:space="preserve"> pedestal, lowering the arm, then clicking on “Blank”. After the machine had zeroed, 2 µL of the chosen RNA sample was pipetted onto the </w:t>
      </w:r>
      <w:proofErr w:type="spellStart"/>
      <w:r>
        <w:rPr>
          <w:highlight w:val="white"/>
        </w:rPr>
        <w:t>nanodrop</w:t>
      </w:r>
      <w:proofErr w:type="spellEnd"/>
      <w:r>
        <w:rPr>
          <w:highlight w:val="white"/>
        </w:rPr>
        <w:t xml:space="preserve"> pedestal and measured for RNA concentration and ratios. Only a couple randomly chosen samples were quantified for RNA just to check that we were getting wanted results. The instrument was wiped off with a </w:t>
      </w:r>
      <w:proofErr w:type="spellStart"/>
      <w:r>
        <w:rPr>
          <w:highlight w:val="white"/>
        </w:rPr>
        <w:t>KimWipe</w:t>
      </w:r>
      <w:proofErr w:type="spellEnd"/>
      <w:r>
        <w:rPr>
          <w:highlight w:val="white"/>
        </w:rPr>
        <w:t xml:space="preserve"> between samples and after. Rows of PCR tubes were set up and labeled, with 17.75 µL of each RNA sample being poured into each corresponding tube and being stored on ice. The actual reverse transcription methods to go from our RNA samples to the </w:t>
      </w:r>
      <w:proofErr w:type="spellStart"/>
      <w:r>
        <w:rPr>
          <w:highlight w:val="white"/>
        </w:rPr>
        <w:t>cDNA</w:t>
      </w:r>
      <w:proofErr w:type="spellEnd"/>
      <w:r>
        <w:rPr>
          <w:highlight w:val="white"/>
        </w:rPr>
        <w:t xml:space="preserve"> samples were carried out by Mackenzie </w:t>
      </w:r>
      <w:proofErr w:type="spellStart"/>
      <w:r>
        <w:rPr>
          <w:highlight w:val="white"/>
        </w:rPr>
        <w:t>Gavery</w:t>
      </w:r>
      <w:proofErr w:type="spellEnd"/>
      <w:r>
        <w:rPr>
          <w:highlight w:val="white"/>
        </w:rPr>
        <w:t xml:space="preserve">. </w:t>
      </w:r>
    </w:p>
    <w:p w14:paraId="17901AAB" w14:textId="77777777" w:rsidR="00324A15" w:rsidRDefault="00324A15">
      <w:pPr>
        <w:pStyle w:val="normal0"/>
      </w:pPr>
    </w:p>
    <w:p w14:paraId="0E5BC7EC" w14:textId="77777777" w:rsidR="00324A15" w:rsidRDefault="00676DA1">
      <w:pPr>
        <w:pStyle w:val="normal0"/>
      </w:pPr>
      <w:r>
        <w:rPr>
          <w:i/>
          <w:highlight w:val="white"/>
        </w:rPr>
        <w:t>Primer Preparation</w:t>
      </w:r>
    </w:p>
    <w:p w14:paraId="72116C3E" w14:textId="77777777" w:rsidR="00324A15" w:rsidRDefault="00676DA1">
      <w:pPr>
        <w:pStyle w:val="normal0"/>
      </w:pPr>
      <w:r>
        <w:rPr>
          <w:highlight w:val="white"/>
        </w:rPr>
        <w:t xml:space="preserve">Specific primers were designed for hsp70 and hsc70 genes for both the Pacific oyster and the Olympia oyster. With these primers, </w:t>
      </w:r>
      <w:proofErr w:type="gramStart"/>
      <w:r>
        <w:rPr>
          <w:highlight w:val="white"/>
        </w:rPr>
        <w:t>stock solutions were made by adding the appropriate amount of nuclease-free water</w:t>
      </w:r>
      <w:proofErr w:type="gramEnd"/>
      <w:r>
        <w:rPr>
          <w:highlight w:val="white"/>
        </w:rPr>
        <w:t xml:space="preserve">. </w:t>
      </w:r>
      <w:proofErr w:type="gramStart"/>
      <w:r>
        <w:rPr>
          <w:highlight w:val="white"/>
        </w:rPr>
        <w:t>This amount was calculated by taking the nm measurement of the primer and multiplying that number by 10 to get the appropriate µL to be added</w:t>
      </w:r>
      <w:proofErr w:type="gramEnd"/>
      <w:r>
        <w:rPr>
          <w:highlight w:val="white"/>
        </w:rPr>
        <w:t xml:space="preserve"> (i.e. primer of 28.5 nm gets 285 µL of water added). From these stock solutions, working stocks of </w:t>
      </w:r>
      <w:proofErr w:type="gramStart"/>
      <w:r>
        <w:rPr>
          <w:highlight w:val="white"/>
        </w:rPr>
        <w:t>10 µ</w:t>
      </w:r>
      <w:proofErr w:type="gramEnd"/>
      <w:r>
        <w:rPr>
          <w:highlight w:val="white"/>
        </w:rPr>
        <w:t>M concentration were made by mixing 10 µL of stock solution to 90 µL of nuclease-free water.</w:t>
      </w:r>
    </w:p>
    <w:p w14:paraId="2172799E" w14:textId="77777777" w:rsidR="00324A15" w:rsidRDefault="00324A15">
      <w:pPr>
        <w:pStyle w:val="normal0"/>
      </w:pPr>
    </w:p>
    <w:p w14:paraId="3FB055E0" w14:textId="77777777" w:rsidR="00324A15" w:rsidRDefault="00676DA1">
      <w:pPr>
        <w:pStyle w:val="normal0"/>
      </w:pPr>
      <w:proofErr w:type="spellStart"/>
      <w:proofErr w:type="gramStart"/>
      <w:r>
        <w:rPr>
          <w:i/>
          <w:highlight w:val="white"/>
        </w:rPr>
        <w:t>qPCR</w:t>
      </w:r>
      <w:proofErr w:type="spellEnd"/>
      <w:proofErr w:type="gramEnd"/>
      <w:r>
        <w:rPr>
          <w:i/>
          <w:highlight w:val="white"/>
        </w:rPr>
        <w:t xml:space="preserve"> and Data Analysis</w:t>
      </w:r>
    </w:p>
    <w:p w14:paraId="6ADB440B" w14:textId="77777777" w:rsidR="00324A15" w:rsidRDefault="00676DA1">
      <w:pPr>
        <w:pStyle w:val="normal0"/>
      </w:pPr>
      <w:r>
        <w:rPr>
          <w:highlight w:val="white"/>
        </w:rPr>
        <w:t xml:space="preserve">A </w:t>
      </w:r>
      <w:proofErr w:type="spellStart"/>
      <w:r>
        <w:rPr>
          <w:highlight w:val="white"/>
        </w:rPr>
        <w:t>qPCR</w:t>
      </w:r>
      <w:proofErr w:type="spellEnd"/>
      <w:r>
        <w:rPr>
          <w:highlight w:val="white"/>
        </w:rPr>
        <w:t xml:space="preserve"> </w:t>
      </w:r>
      <w:proofErr w:type="spellStart"/>
      <w:r>
        <w:rPr>
          <w:highlight w:val="white"/>
        </w:rPr>
        <w:t>mastermix</w:t>
      </w:r>
      <w:proofErr w:type="spellEnd"/>
      <w:r>
        <w:rPr>
          <w:highlight w:val="white"/>
        </w:rPr>
        <w:t xml:space="preserve"> was prepared by mixing 12.5 µL of </w:t>
      </w:r>
      <w:proofErr w:type="spellStart"/>
      <w:r>
        <w:rPr>
          <w:highlight w:val="white"/>
        </w:rPr>
        <w:t>Sensimix</w:t>
      </w:r>
      <w:proofErr w:type="spellEnd"/>
      <w:r>
        <w:rPr>
          <w:highlight w:val="white"/>
        </w:rPr>
        <w:t xml:space="preserve">, 1 µL of SYBR 25X, 1.25 µL each of the upstream and downstream primer working stocks and 7 µL of PCR water per reaction. The actual amounts needed were calculated by multiplying the above numbers by 24 - 10 control + 10 treatment + 2 blanks + 2 additional to account for pipetting error. The final numbers ended up being 300 µL of </w:t>
      </w:r>
      <w:proofErr w:type="spellStart"/>
      <w:r>
        <w:rPr>
          <w:highlight w:val="white"/>
        </w:rPr>
        <w:t>Sensimix</w:t>
      </w:r>
      <w:proofErr w:type="spellEnd"/>
      <w:r>
        <w:rPr>
          <w:highlight w:val="white"/>
        </w:rPr>
        <w:t xml:space="preserve">, 24 µL of SYBR 25X, 30 µL of each primer, and 168 µL of PCR water. After the </w:t>
      </w:r>
      <w:proofErr w:type="spellStart"/>
      <w:r>
        <w:rPr>
          <w:highlight w:val="white"/>
        </w:rPr>
        <w:t>mastermix</w:t>
      </w:r>
      <w:proofErr w:type="spellEnd"/>
      <w:r>
        <w:rPr>
          <w:highlight w:val="white"/>
        </w:rPr>
        <w:t xml:space="preserve"> had been prepared, 23 µL of it was added to each </w:t>
      </w:r>
      <w:proofErr w:type="spellStart"/>
      <w:r>
        <w:rPr>
          <w:highlight w:val="white"/>
        </w:rPr>
        <w:t>qPCR</w:t>
      </w:r>
      <w:proofErr w:type="spellEnd"/>
      <w:r>
        <w:rPr>
          <w:highlight w:val="white"/>
        </w:rPr>
        <w:t xml:space="preserve"> tube and 2 µL of each </w:t>
      </w:r>
      <w:proofErr w:type="spellStart"/>
      <w:r>
        <w:rPr>
          <w:highlight w:val="white"/>
        </w:rPr>
        <w:t>cDNA</w:t>
      </w:r>
      <w:proofErr w:type="spellEnd"/>
      <w:r>
        <w:rPr>
          <w:highlight w:val="white"/>
        </w:rPr>
        <w:t xml:space="preserve"> sample was added to their respective wells, with 2 µL of PCR water instead of </w:t>
      </w:r>
      <w:proofErr w:type="spellStart"/>
      <w:r>
        <w:rPr>
          <w:highlight w:val="white"/>
        </w:rPr>
        <w:t>cDNA</w:t>
      </w:r>
      <w:proofErr w:type="spellEnd"/>
      <w:r>
        <w:rPr>
          <w:highlight w:val="white"/>
        </w:rPr>
        <w:t xml:space="preserve"> being added to the blanks. These 25-µL mixtures were then submitted to Mackenzie </w:t>
      </w:r>
      <w:proofErr w:type="spellStart"/>
      <w:r>
        <w:rPr>
          <w:highlight w:val="white"/>
        </w:rPr>
        <w:t>Gavery</w:t>
      </w:r>
      <w:proofErr w:type="spellEnd"/>
      <w:r>
        <w:rPr>
          <w:highlight w:val="white"/>
        </w:rPr>
        <w:t xml:space="preserve"> to be run through </w:t>
      </w:r>
      <w:proofErr w:type="spellStart"/>
      <w:r>
        <w:rPr>
          <w:highlight w:val="white"/>
        </w:rPr>
        <w:t>qPCR</w:t>
      </w:r>
      <w:proofErr w:type="spellEnd"/>
      <w:r>
        <w:rPr>
          <w:highlight w:val="white"/>
        </w:rPr>
        <w:t xml:space="preserve"> procedures. The </w:t>
      </w:r>
      <w:proofErr w:type="spellStart"/>
      <w:r>
        <w:rPr>
          <w:highlight w:val="white"/>
        </w:rPr>
        <w:t>qPCR</w:t>
      </w:r>
      <w:proofErr w:type="spellEnd"/>
      <w:r>
        <w:rPr>
          <w:highlight w:val="white"/>
        </w:rPr>
        <w:t xml:space="preserve"> data collected from these samples were put into a program called PCR Miner and we were able to obtain values for CT and the average efficiency of the genes. The equation 1/(1+average efficiency of </w:t>
      </w:r>
      <w:proofErr w:type="gramStart"/>
      <w:r>
        <w:rPr>
          <w:highlight w:val="white"/>
        </w:rPr>
        <w:t>genes)</w:t>
      </w:r>
      <w:r>
        <w:rPr>
          <w:highlight w:val="white"/>
          <w:vertAlign w:val="superscript"/>
        </w:rPr>
        <w:t>CT</w:t>
      </w:r>
      <w:proofErr w:type="gramEnd"/>
      <w:r>
        <w:rPr>
          <w:highlight w:val="white"/>
          <w:vertAlign w:val="superscript"/>
        </w:rPr>
        <w:t xml:space="preserve"> </w:t>
      </w:r>
      <w:r>
        <w:rPr>
          <w:highlight w:val="white"/>
        </w:rPr>
        <w:t xml:space="preserve">was used to calculate R(0) from these values. Normalized gene expression values were calculated by dividing the </w:t>
      </w:r>
      <w:proofErr w:type="gramStart"/>
      <w:r>
        <w:rPr>
          <w:highlight w:val="white"/>
        </w:rPr>
        <w:t>R(</w:t>
      </w:r>
      <w:proofErr w:type="gramEnd"/>
      <w:r>
        <w:rPr>
          <w:highlight w:val="white"/>
        </w:rPr>
        <w:t xml:space="preserve">0) values by each respective normalizing gene R(0) value provided here: </w:t>
      </w:r>
      <w:hyperlink r:id="rId6">
        <w:r>
          <w:rPr>
            <w:color w:val="047AC6"/>
            <w:highlight w:val="white"/>
            <w:u w:val="single"/>
          </w:rPr>
          <w:t>http://128.95.149.81/bivalvia/FISH441_normgene_RFUandMiner.xls</w:t>
        </w:r>
      </w:hyperlink>
      <w:r>
        <w:rPr>
          <w:highlight w:val="white"/>
        </w:rPr>
        <w:t xml:space="preserve">. </w:t>
      </w:r>
    </w:p>
    <w:p w14:paraId="78CE59BF" w14:textId="77777777" w:rsidR="00324A15" w:rsidRDefault="00324A15">
      <w:pPr>
        <w:pStyle w:val="normal0"/>
      </w:pPr>
    </w:p>
    <w:p w14:paraId="1F55E90D" w14:textId="77777777" w:rsidR="00290D94" w:rsidRDefault="00676DA1">
      <w:pPr>
        <w:pStyle w:val="normal0"/>
        <w:rPr>
          <w:b/>
        </w:rPr>
      </w:pPr>
      <w:commentRangeStart w:id="2"/>
      <w:r>
        <w:rPr>
          <w:b/>
        </w:rPr>
        <w:lastRenderedPageBreak/>
        <w:t>RESULT</w:t>
      </w:r>
      <w:r w:rsidR="00290D94">
        <w:rPr>
          <w:b/>
        </w:rPr>
        <w:t>S</w:t>
      </w:r>
      <w:commentRangeEnd w:id="2"/>
      <w:r w:rsidR="00B72949">
        <w:rPr>
          <w:rStyle w:val="CommentReference"/>
          <w:rFonts w:asciiTheme="minorHAnsi" w:eastAsiaTheme="minorEastAsia" w:hAnsiTheme="minorHAnsi" w:cstheme="minorBidi"/>
          <w:color w:val="auto"/>
        </w:rPr>
        <w:commentReference w:id="2"/>
      </w:r>
    </w:p>
    <w:p w14:paraId="3DDA6A85" w14:textId="77777777" w:rsidR="00290D94" w:rsidRDefault="00290D94">
      <w:pPr>
        <w:pStyle w:val="normal0"/>
      </w:pPr>
      <w:r w:rsidRPr="00290D94">
        <w:rPr>
          <w:noProof/>
        </w:rPr>
        <w:drawing>
          <wp:inline distT="0" distB="0" distL="0" distR="0" wp14:anchorId="5B7E1676" wp14:editId="0F309DCA">
            <wp:extent cx="4572000" cy="2743200"/>
            <wp:effectExtent l="25400" t="25400" r="0" b="0"/>
            <wp:docPr id="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F353F23" w14:textId="77777777" w:rsidR="00290D94" w:rsidRDefault="00290D94">
      <w:pPr>
        <w:pStyle w:val="normal0"/>
      </w:pPr>
    </w:p>
    <w:p w14:paraId="38C42537" w14:textId="77777777" w:rsidR="00290D94" w:rsidRDefault="00290D94">
      <w:pPr>
        <w:pStyle w:val="normal0"/>
      </w:pPr>
      <w:r w:rsidRPr="00290D94">
        <w:rPr>
          <w:noProof/>
        </w:rPr>
        <w:drawing>
          <wp:inline distT="0" distB="0" distL="0" distR="0" wp14:anchorId="5721F798" wp14:editId="4D245850">
            <wp:extent cx="4572000" cy="2743200"/>
            <wp:effectExtent l="25400" t="25400" r="0" b="0"/>
            <wp:docPr id="3"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D4806D" w14:textId="77777777" w:rsidR="00E06307" w:rsidRDefault="00E06307">
      <w:pPr>
        <w:pStyle w:val="normal0"/>
      </w:pPr>
      <w:r>
        <w:t>P value: 0.128665488</w:t>
      </w:r>
    </w:p>
    <w:p w14:paraId="0E4FC073" w14:textId="77777777" w:rsidR="00E06307" w:rsidRPr="00E06307" w:rsidRDefault="00E06307">
      <w:pPr>
        <w:pStyle w:val="normal0"/>
      </w:pPr>
      <w:r>
        <w:t xml:space="preserve">Mean: </w:t>
      </w:r>
      <w:r w:rsidR="00676DA1">
        <w:t>0.002467631</w:t>
      </w:r>
      <w:r>
        <w:t>(control), 3.1869*10</w:t>
      </w:r>
      <w:r w:rsidRPr="00E06307">
        <w:rPr>
          <w:vertAlign w:val="superscript"/>
        </w:rPr>
        <w:t>-6</w:t>
      </w:r>
      <w:r>
        <w:t>(trea</w:t>
      </w:r>
      <w:r w:rsidR="00676DA1">
        <w:t>t</w:t>
      </w:r>
      <w:r>
        <w:t>ment)</w:t>
      </w:r>
    </w:p>
    <w:p w14:paraId="2496B001" w14:textId="77777777" w:rsidR="00290D94" w:rsidRDefault="00E06307">
      <w:pPr>
        <w:pStyle w:val="normal0"/>
      </w:pPr>
      <w:r>
        <w:t>Standard Deviation: 0.002947699(control), 2.8525*10</w:t>
      </w:r>
      <w:r w:rsidRPr="00E06307">
        <w:rPr>
          <w:vertAlign w:val="superscript"/>
        </w:rPr>
        <w:t>-6</w:t>
      </w:r>
      <w:r>
        <w:t>(treatment)</w:t>
      </w:r>
    </w:p>
    <w:p w14:paraId="43EAE0FE" w14:textId="77777777" w:rsidR="00676DA1" w:rsidRDefault="00290D94">
      <w:pPr>
        <w:pStyle w:val="normal0"/>
      </w:pPr>
      <w:r w:rsidRPr="00290D94">
        <w:rPr>
          <w:noProof/>
        </w:rPr>
        <w:lastRenderedPageBreak/>
        <w:drawing>
          <wp:inline distT="0" distB="0" distL="0" distR="0" wp14:anchorId="065CC397" wp14:editId="2FC8391F">
            <wp:extent cx="4572000" cy="2743200"/>
            <wp:effectExtent l="25400" t="25400" r="0" b="0"/>
            <wp:docPr id="5"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4C646D1" w14:textId="77777777" w:rsidR="00290D94" w:rsidRDefault="00290D94">
      <w:pPr>
        <w:pStyle w:val="normal0"/>
      </w:pPr>
    </w:p>
    <w:p w14:paraId="659791E5" w14:textId="77777777" w:rsidR="00324A15" w:rsidRDefault="00290D94">
      <w:pPr>
        <w:pStyle w:val="normal0"/>
      </w:pPr>
      <w:r w:rsidRPr="00290D94">
        <w:rPr>
          <w:noProof/>
        </w:rPr>
        <w:drawing>
          <wp:inline distT="0" distB="0" distL="0" distR="0" wp14:anchorId="2F4415C2" wp14:editId="62036F7E">
            <wp:extent cx="4572000" cy="2743200"/>
            <wp:effectExtent l="25400" t="25400" r="0" b="0"/>
            <wp:docPr id="4"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C4F375" w14:textId="77777777" w:rsidR="00E06307" w:rsidRDefault="00E06307">
      <w:pPr>
        <w:pStyle w:val="normal0"/>
      </w:pPr>
      <w:r w:rsidRPr="00E06307">
        <w:t>P value</w:t>
      </w:r>
      <w:r>
        <w:t>: 0.03301714</w:t>
      </w:r>
    </w:p>
    <w:p w14:paraId="58BC8D3E" w14:textId="77777777" w:rsidR="00E06307" w:rsidRDefault="00E06307">
      <w:pPr>
        <w:pStyle w:val="normal0"/>
      </w:pPr>
      <w:r>
        <w:t xml:space="preserve">Mean: </w:t>
      </w:r>
      <w:r w:rsidR="00676DA1">
        <w:t>0.98416464(control), 2.48162768</w:t>
      </w:r>
      <w:r>
        <w:t>(treatment)</w:t>
      </w:r>
    </w:p>
    <w:p w14:paraId="54837724" w14:textId="77777777" w:rsidR="00E06307" w:rsidRDefault="00E06307">
      <w:pPr>
        <w:pStyle w:val="normal0"/>
      </w:pPr>
      <w:r>
        <w:t>Standard Deviation: 0</w:t>
      </w:r>
      <w:r w:rsidR="00676DA1">
        <w:t>.63632089(control), 1.93309074</w:t>
      </w:r>
      <w:r>
        <w:t>(treatment)</w:t>
      </w:r>
    </w:p>
    <w:p w14:paraId="527E74F9" w14:textId="77777777" w:rsidR="00E06307" w:rsidRDefault="00E06307">
      <w:pPr>
        <w:pStyle w:val="normal0"/>
      </w:pPr>
    </w:p>
    <w:p w14:paraId="585A4694" w14:textId="77777777" w:rsidR="00676DA1" w:rsidRDefault="00676DA1">
      <w:pPr>
        <w:pStyle w:val="normal0"/>
      </w:pPr>
    </w:p>
    <w:p w14:paraId="1A52789B" w14:textId="77777777" w:rsidR="00676DA1" w:rsidRDefault="00676DA1">
      <w:pPr>
        <w:pStyle w:val="normal0"/>
      </w:pPr>
    </w:p>
    <w:p w14:paraId="68E987CE" w14:textId="77777777" w:rsidR="00676DA1" w:rsidRDefault="00676DA1">
      <w:pPr>
        <w:pStyle w:val="normal0"/>
      </w:pPr>
      <w:r w:rsidRPr="00676DA1">
        <w:rPr>
          <w:noProof/>
        </w:rPr>
        <w:lastRenderedPageBreak/>
        <w:drawing>
          <wp:inline distT="0" distB="0" distL="0" distR="0" wp14:anchorId="38D92192" wp14:editId="7CE9ADFC">
            <wp:extent cx="5486400" cy="3839845"/>
            <wp:effectExtent l="25400" t="25400" r="0" b="0"/>
            <wp:docPr id="7"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0BDE33" w14:textId="77777777" w:rsidR="00676DA1" w:rsidRDefault="00676DA1">
      <w:pPr>
        <w:pStyle w:val="normal0"/>
      </w:pPr>
    </w:p>
    <w:p w14:paraId="7C5827BC" w14:textId="77777777" w:rsidR="00676DA1" w:rsidRDefault="00676DA1">
      <w:pPr>
        <w:pStyle w:val="normal0"/>
      </w:pPr>
      <w:r w:rsidRPr="00676DA1">
        <w:rPr>
          <w:noProof/>
        </w:rPr>
        <w:drawing>
          <wp:inline distT="0" distB="0" distL="0" distR="0" wp14:anchorId="2BC4957C" wp14:editId="2FA7701E">
            <wp:extent cx="4572000" cy="2743200"/>
            <wp:effectExtent l="25400" t="25400" r="0" b="0"/>
            <wp:docPr id="8" name="C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CF95600" w14:textId="77777777" w:rsidR="00676DA1" w:rsidRDefault="00676DA1">
      <w:pPr>
        <w:pStyle w:val="normal0"/>
      </w:pPr>
      <w:r>
        <w:t>P value: 0.004187992</w:t>
      </w:r>
    </w:p>
    <w:p w14:paraId="64651DD5" w14:textId="77777777" w:rsidR="00676DA1" w:rsidRDefault="00676DA1">
      <w:pPr>
        <w:pStyle w:val="normal0"/>
      </w:pPr>
      <w:r>
        <w:t>Mean: 0.01296444(control), 0.02701651(treatment)</w:t>
      </w:r>
    </w:p>
    <w:p w14:paraId="16365A6F" w14:textId="77777777" w:rsidR="00095DA6" w:rsidRDefault="00676DA1">
      <w:pPr>
        <w:pStyle w:val="normal0"/>
      </w:pPr>
      <w:r>
        <w:t>Standard Deviation: 0.004791894(control), 0.01268495(treatment)</w:t>
      </w:r>
    </w:p>
    <w:p w14:paraId="3E3816F0" w14:textId="77777777" w:rsidR="00095DA6" w:rsidRDefault="00095DA6">
      <w:pPr>
        <w:pStyle w:val="normal0"/>
      </w:pPr>
    </w:p>
    <w:p w14:paraId="08D4BB06" w14:textId="77777777" w:rsidR="00676DA1" w:rsidRDefault="00095DA6">
      <w:pPr>
        <w:pStyle w:val="normal0"/>
      </w:pPr>
      <w:r w:rsidRPr="00095DA6">
        <w:rPr>
          <w:noProof/>
        </w:rPr>
        <w:lastRenderedPageBreak/>
        <w:drawing>
          <wp:inline distT="0" distB="0" distL="0" distR="0" wp14:anchorId="4584FFF9" wp14:editId="1A5CBB77">
            <wp:extent cx="4572000" cy="2743200"/>
            <wp:effectExtent l="25400" t="25400" r="0" b="0"/>
            <wp:docPr id="10" name="C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1793BE" w14:textId="77777777" w:rsidR="00676DA1" w:rsidRDefault="00676DA1">
      <w:pPr>
        <w:pStyle w:val="normal0"/>
      </w:pPr>
    </w:p>
    <w:p w14:paraId="778BD38F" w14:textId="77777777" w:rsidR="00095DA6" w:rsidRDefault="00676DA1">
      <w:pPr>
        <w:pStyle w:val="normal0"/>
      </w:pPr>
      <w:bookmarkStart w:id="3" w:name="_GoBack"/>
      <w:r w:rsidRPr="00676DA1">
        <w:rPr>
          <w:noProof/>
        </w:rPr>
        <w:drawing>
          <wp:inline distT="0" distB="0" distL="0" distR="0" wp14:anchorId="72908D0F" wp14:editId="2E806792">
            <wp:extent cx="4572000" cy="2743200"/>
            <wp:effectExtent l="25400" t="25400" r="0" b="0"/>
            <wp:docPr id="9" name="C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3"/>
    </w:p>
    <w:p w14:paraId="4A401899" w14:textId="77777777" w:rsidR="00BB6E00" w:rsidRDefault="00BB6E00">
      <w:pPr>
        <w:pStyle w:val="normal0"/>
      </w:pPr>
      <w:r>
        <w:t>P value: 0.04945965</w:t>
      </w:r>
    </w:p>
    <w:p w14:paraId="17FC84F8" w14:textId="77777777" w:rsidR="00BB6E00" w:rsidRDefault="00BB6E00">
      <w:pPr>
        <w:pStyle w:val="normal0"/>
      </w:pPr>
      <w:r>
        <w:t>Mean: 0.59533835(control), 20.9820308(treatment)</w:t>
      </w:r>
    </w:p>
    <w:p w14:paraId="4D85DA56" w14:textId="77777777" w:rsidR="00095DA6" w:rsidRDefault="00BB6E00">
      <w:pPr>
        <w:pStyle w:val="normal0"/>
      </w:pPr>
      <w:r>
        <w:t>Standard Deviation: 0.43805256(control), 30.5720466(treatment)</w:t>
      </w:r>
    </w:p>
    <w:p w14:paraId="2315F095" w14:textId="77777777" w:rsidR="00E06307" w:rsidRPr="00E06307" w:rsidRDefault="00E06307">
      <w:pPr>
        <w:pStyle w:val="normal0"/>
      </w:pPr>
    </w:p>
    <w:p w14:paraId="1BBB47B7" w14:textId="77777777" w:rsidR="00E06307" w:rsidRDefault="00676DA1">
      <w:pPr>
        <w:pStyle w:val="normal0"/>
        <w:rPr>
          <w:b/>
        </w:rPr>
      </w:pPr>
      <w:commentRangeStart w:id="4"/>
      <w:r>
        <w:rPr>
          <w:b/>
        </w:rPr>
        <w:t>DISCUSSION</w:t>
      </w:r>
      <w:commentRangeEnd w:id="4"/>
      <w:r w:rsidR="00B72949">
        <w:rPr>
          <w:rStyle w:val="CommentReference"/>
          <w:rFonts w:asciiTheme="minorHAnsi" w:eastAsiaTheme="minorEastAsia" w:hAnsiTheme="minorHAnsi" w:cstheme="minorBidi"/>
          <w:color w:val="auto"/>
        </w:rPr>
        <w:commentReference w:id="4"/>
      </w:r>
    </w:p>
    <w:p w14:paraId="7ABB0B2C" w14:textId="77777777" w:rsidR="00E06307" w:rsidRDefault="00463B2F" w:rsidP="00E06307">
      <w:pPr>
        <w:pStyle w:val="normal0"/>
      </w:pPr>
      <w:r>
        <w:t>From the above graphs it clearly</w:t>
      </w:r>
      <w:r w:rsidR="00E06307">
        <w:t xml:space="preserve"> looks like hsc70 expression in Pacific oysters</w:t>
      </w:r>
      <w:r>
        <w:t xml:space="preserve"> </w:t>
      </w:r>
      <w:r w:rsidR="00E06307">
        <w:t xml:space="preserve">decreased as </w:t>
      </w:r>
      <w:r>
        <w:t>they</w:t>
      </w:r>
      <w:r w:rsidR="00E06307">
        <w:t xml:space="preserve"> were exposed to heat shock whereas in Olympia oysters the expression increased. However, due to unreliable data for most of the Pacific oyster treatment samples, only 4 could </w:t>
      </w:r>
      <w:r w:rsidR="00BB6E00">
        <w:t xml:space="preserve">even be used for calculations. </w:t>
      </w:r>
      <w:r w:rsidR="00A507BF">
        <w:t>QPCR procedures were run twice on the hsc70 Pacific treatment samples to make sure that the results were not due to human error. The unreliability of the data</w:t>
      </w:r>
      <w:r w:rsidR="00BB6E00">
        <w:t>, along wi</w:t>
      </w:r>
      <w:r w:rsidR="00A507BF">
        <w:t>th the p value being &gt;0.05 make</w:t>
      </w:r>
      <w:r w:rsidR="00BB6E00">
        <w:t xml:space="preserve"> the results inconclusive. The hsc70 expression in Olympia oysters increased when exposed to heat shock, as expected. The hsp70 expression for both species of oy</w:t>
      </w:r>
      <w:r w:rsidR="00BD5B5E">
        <w:t>ster</w:t>
      </w:r>
      <w:r w:rsidR="00A507BF">
        <w:t>s</w:t>
      </w:r>
      <w:r w:rsidR="00BD5B5E">
        <w:t xml:space="preserve"> increased with temperature. In general it looked like Olympia oysters </w:t>
      </w:r>
      <w:r w:rsidR="00BD5B5E">
        <w:lastRenderedPageBreak/>
        <w:t xml:space="preserve">showed a much greater increase in both hsc70 and hsp70 expression in response to heat. Comparing the differences in expression </w:t>
      </w:r>
      <w:r w:rsidR="00F5613B">
        <w:t>levels</w:t>
      </w:r>
      <w:r w:rsidR="00BD5B5E">
        <w:t xml:space="preserve">, one could lean towards Olympia oysters being better adapted to dealing </w:t>
      </w:r>
      <w:r w:rsidR="00F5613B">
        <w:t xml:space="preserve">with heat stress. </w:t>
      </w:r>
      <w:r w:rsidR="00A507BF">
        <w:t>However, Pacific oysters have been known to better withstand higher temperatures</w:t>
      </w:r>
      <w:r w:rsidR="00BD5B5E">
        <w:t xml:space="preserve"> </w:t>
      </w:r>
      <w:r w:rsidR="00A507BF">
        <w:t xml:space="preserve">compared to Olympia oysters so how could this be? I suspect that the Olympia oysters showing higher expression of the heat shock proteins was due to the fact that they were closer to their threshold temperatures. If the treatment temperatures were increased further then I believe Pacific oysters would have shown similar increases in their hsc70/hsp70 expression. </w:t>
      </w:r>
      <w:r w:rsidR="00E06307">
        <w:t xml:space="preserve">  </w:t>
      </w:r>
    </w:p>
    <w:p w14:paraId="74A89310" w14:textId="77777777" w:rsidR="004B650E" w:rsidRDefault="004B650E">
      <w:pPr>
        <w:pStyle w:val="normal0"/>
      </w:pPr>
    </w:p>
    <w:p w14:paraId="021EC53A" w14:textId="77777777" w:rsidR="00D21F30" w:rsidRDefault="004B650E">
      <w:pPr>
        <w:pStyle w:val="normal0"/>
        <w:rPr>
          <w:b/>
        </w:rPr>
      </w:pPr>
      <w:r>
        <w:rPr>
          <w:b/>
        </w:rPr>
        <w:t>REFERENCES</w:t>
      </w:r>
    </w:p>
    <w:p w14:paraId="7180F1A6" w14:textId="77777777" w:rsidR="00D21F30" w:rsidRDefault="00D21F30" w:rsidP="002642B0">
      <w:pPr>
        <w:pStyle w:val="normal0"/>
        <w:spacing w:line="240" w:lineRule="auto"/>
      </w:pPr>
      <w:proofErr w:type="spellStart"/>
      <w:r w:rsidRPr="00D21F30">
        <w:t>Savykoski</w:t>
      </w:r>
      <w:proofErr w:type="spellEnd"/>
      <w:r w:rsidRPr="00D21F30">
        <w:t xml:space="preserve">, </w:t>
      </w:r>
      <w:proofErr w:type="spellStart"/>
      <w:r w:rsidRPr="00D21F30">
        <w:t>Tiina</w:t>
      </w:r>
      <w:proofErr w:type="spellEnd"/>
      <w:r w:rsidRPr="00D21F30">
        <w:t xml:space="preserve">. </w:t>
      </w:r>
      <w:r>
        <w:t>“</w:t>
      </w:r>
      <w:r w:rsidRPr="00D21F30">
        <w:rPr>
          <w:bCs/>
        </w:rPr>
        <w:t xml:space="preserve">Chlamydia </w:t>
      </w:r>
      <w:proofErr w:type="spellStart"/>
      <w:r w:rsidRPr="00D21F30">
        <w:rPr>
          <w:bCs/>
        </w:rPr>
        <w:t>pneumoniae</w:t>
      </w:r>
      <w:proofErr w:type="spellEnd"/>
      <w:r w:rsidRPr="00D21F30">
        <w:rPr>
          <w:bCs/>
        </w:rPr>
        <w:t> </w:t>
      </w:r>
      <w:r w:rsidRPr="00D21F30">
        <w:rPr>
          <w:bCs/>
          <w:szCs w:val="27"/>
          <w:shd w:val="clear" w:color="auto" w:fill="FFFFFF"/>
        </w:rPr>
        <w:t>infection, inflammation and heat shock protein 60 immunity in asthma and coronary heart disease</w:t>
      </w:r>
      <w:r>
        <w:rPr>
          <w:bCs/>
          <w:szCs w:val="27"/>
          <w:shd w:val="clear" w:color="auto" w:fill="FFFFFF"/>
        </w:rPr>
        <w:t xml:space="preserve">.” 2003 [Online] </w:t>
      </w:r>
      <w:hyperlink r:id="rId15" w:history="1">
        <w:r w:rsidRPr="00CC44E0">
          <w:rPr>
            <w:rStyle w:val="Hyperlink"/>
          </w:rPr>
          <w:t>http://herkules.oulu.fi/isbn9514269853/html/c231.html</w:t>
        </w:r>
      </w:hyperlink>
    </w:p>
    <w:p w14:paraId="7AC35441" w14:textId="77777777" w:rsidR="00D21F30" w:rsidRPr="00D21F30" w:rsidRDefault="00D21F30" w:rsidP="002642B0">
      <w:pPr>
        <w:pStyle w:val="Heading1"/>
        <w:shd w:val="clear" w:color="auto" w:fill="FFFFFF"/>
        <w:spacing w:before="0" w:after="0" w:line="240" w:lineRule="auto"/>
        <w:textAlignment w:val="baseline"/>
        <w:rPr>
          <w:b w:val="0"/>
          <w:bCs/>
          <w:color w:val="auto"/>
          <w:sz w:val="22"/>
          <w:szCs w:val="28"/>
        </w:rPr>
      </w:pPr>
      <w:r w:rsidRPr="00D21F30">
        <w:rPr>
          <w:b w:val="0"/>
          <w:bCs/>
          <w:color w:val="auto"/>
          <w:sz w:val="22"/>
          <w:szCs w:val="27"/>
          <w:shd w:val="clear" w:color="auto" w:fill="FFFFFF"/>
        </w:rPr>
        <w:t xml:space="preserve">Jackson, Susan A. et al (2011) </w:t>
      </w:r>
      <w:r>
        <w:rPr>
          <w:b w:val="0"/>
          <w:bCs/>
          <w:color w:val="auto"/>
          <w:sz w:val="22"/>
          <w:szCs w:val="27"/>
          <w:shd w:val="clear" w:color="auto" w:fill="FFFFFF"/>
        </w:rPr>
        <w:t>“</w:t>
      </w:r>
      <w:r w:rsidRPr="00D21F30">
        <w:rPr>
          <w:b w:val="0"/>
          <w:bCs/>
          <w:color w:val="auto"/>
          <w:sz w:val="22"/>
          <w:szCs w:val="28"/>
        </w:rPr>
        <w:t>Duration of induced thermal tolerance and tissue-specific expression of hsp/hsc70 in the eastern oyster,</w:t>
      </w:r>
      <w:r w:rsidRPr="00D21F30">
        <w:rPr>
          <w:rStyle w:val="apple-converted-space"/>
          <w:b w:val="0"/>
          <w:bCs/>
          <w:color w:val="auto"/>
          <w:sz w:val="22"/>
          <w:szCs w:val="28"/>
        </w:rPr>
        <w:t> </w:t>
      </w:r>
      <w:proofErr w:type="spellStart"/>
      <w:r w:rsidRPr="00D21F30">
        <w:rPr>
          <w:rStyle w:val="Emphasis"/>
          <w:b w:val="0"/>
          <w:bCs/>
          <w:color w:val="auto"/>
          <w:sz w:val="22"/>
          <w:szCs w:val="33"/>
          <w:bdr w:val="none" w:sz="0" w:space="0" w:color="auto" w:frame="1"/>
        </w:rPr>
        <w:t>Crassostrea</w:t>
      </w:r>
      <w:proofErr w:type="spellEnd"/>
      <w:r w:rsidRPr="00D21F30">
        <w:rPr>
          <w:rStyle w:val="Emphasis"/>
          <w:b w:val="0"/>
          <w:bCs/>
          <w:color w:val="auto"/>
          <w:sz w:val="22"/>
          <w:szCs w:val="33"/>
          <w:bdr w:val="none" w:sz="0" w:space="0" w:color="auto" w:frame="1"/>
        </w:rPr>
        <w:t xml:space="preserve"> </w:t>
      </w:r>
      <w:proofErr w:type="spellStart"/>
      <w:r w:rsidRPr="00D21F30">
        <w:rPr>
          <w:rStyle w:val="Emphasis"/>
          <w:b w:val="0"/>
          <w:bCs/>
          <w:color w:val="auto"/>
          <w:sz w:val="22"/>
          <w:szCs w:val="33"/>
          <w:bdr w:val="none" w:sz="0" w:space="0" w:color="auto" w:frame="1"/>
        </w:rPr>
        <w:t>virginica</w:t>
      </w:r>
      <w:proofErr w:type="spellEnd"/>
      <w:r w:rsidRPr="00D21F30">
        <w:rPr>
          <w:rStyle w:val="apple-converted-space"/>
          <w:b w:val="0"/>
          <w:bCs/>
          <w:color w:val="auto"/>
          <w:sz w:val="22"/>
          <w:szCs w:val="28"/>
        </w:rPr>
        <w:t> </w:t>
      </w:r>
      <w:r w:rsidRPr="00D21F30">
        <w:rPr>
          <w:b w:val="0"/>
          <w:bCs/>
          <w:color w:val="auto"/>
          <w:sz w:val="22"/>
          <w:szCs w:val="28"/>
        </w:rPr>
        <w:t>and the pacific oyster,</w:t>
      </w:r>
      <w:r w:rsidRPr="00D21F30">
        <w:rPr>
          <w:rStyle w:val="apple-converted-space"/>
          <w:b w:val="0"/>
          <w:bCs/>
          <w:color w:val="auto"/>
          <w:sz w:val="22"/>
          <w:szCs w:val="28"/>
        </w:rPr>
        <w:t> </w:t>
      </w:r>
      <w:proofErr w:type="spellStart"/>
      <w:r w:rsidRPr="00D21F30">
        <w:rPr>
          <w:rStyle w:val="Emphasis"/>
          <w:b w:val="0"/>
          <w:bCs/>
          <w:color w:val="auto"/>
          <w:sz w:val="22"/>
          <w:szCs w:val="33"/>
          <w:bdr w:val="none" w:sz="0" w:space="0" w:color="auto" w:frame="1"/>
        </w:rPr>
        <w:t>Crassostrea</w:t>
      </w:r>
      <w:proofErr w:type="spellEnd"/>
      <w:r w:rsidRPr="00D21F30">
        <w:rPr>
          <w:rStyle w:val="Emphasis"/>
          <w:b w:val="0"/>
          <w:bCs/>
          <w:color w:val="auto"/>
          <w:sz w:val="22"/>
          <w:szCs w:val="33"/>
          <w:bdr w:val="none" w:sz="0" w:space="0" w:color="auto" w:frame="1"/>
        </w:rPr>
        <w:t xml:space="preserve"> </w:t>
      </w:r>
      <w:proofErr w:type="spellStart"/>
      <w:r w:rsidRPr="00D21F30">
        <w:rPr>
          <w:rStyle w:val="Emphasis"/>
          <w:b w:val="0"/>
          <w:bCs/>
          <w:color w:val="auto"/>
          <w:sz w:val="22"/>
          <w:szCs w:val="33"/>
          <w:bdr w:val="none" w:sz="0" w:space="0" w:color="auto" w:frame="1"/>
        </w:rPr>
        <w:t>gigas</w:t>
      </w:r>
      <w:proofErr w:type="spellEnd"/>
      <w:r>
        <w:rPr>
          <w:rStyle w:val="Emphasis"/>
          <w:b w:val="0"/>
          <w:bCs/>
          <w:color w:val="auto"/>
          <w:sz w:val="22"/>
          <w:szCs w:val="33"/>
          <w:bdr w:val="none" w:sz="0" w:space="0" w:color="auto" w:frame="1"/>
        </w:rPr>
        <w:t>.</w:t>
      </w:r>
      <w:r>
        <w:rPr>
          <w:rStyle w:val="Emphasis"/>
          <w:b w:val="0"/>
          <w:bCs/>
          <w:i w:val="0"/>
          <w:color w:val="auto"/>
          <w:sz w:val="22"/>
          <w:szCs w:val="33"/>
          <w:bdr w:val="none" w:sz="0" w:space="0" w:color="auto" w:frame="1"/>
        </w:rPr>
        <w:t>” Aquaculture. 317(1-4)</w:t>
      </w:r>
      <w:proofErr w:type="gramStart"/>
      <w:r>
        <w:rPr>
          <w:rStyle w:val="Emphasis"/>
          <w:b w:val="0"/>
          <w:bCs/>
          <w:i w:val="0"/>
          <w:color w:val="auto"/>
          <w:sz w:val="22"/>
          <w:szCs w:val="33"/>
          <w:bdr w:val="none" w:sz="0" w:space="0" w:color="auto" w:frame="1"/>
        </w:rPr>
        <w:t>:168</w:t>
      </w:r>
      <w:proofErr w:type="gramEnd"/>
      <w:r>
        <w:rPr>
          <w:rStyle w:val="Emphasis"/>
          <w:b w:val="0"/>
          <w:bCs/>
          <w:i w:val="0"/>
          <w:color w:val="auto"/>
          <w:sz w:val="22"/>
          <w:szCs w:val="33"/>
          <w:bdr w:val="none" w:sz="0" w:space="0" w:color="auto" w:frame="1"/>
        </w:rPr>
        <w:t>-174</w:t>
      </w:r>
      <w:r w:rsidR="002642B0">
        <w:rPr>
          <w:rStyle w:val="Emphasis"/>
          <w:b w:val="0"/>
          <w:bCs/>
          <w:i w:val="0"/>
          <w:color w:val="auto"/>
          <w:sz w:val="22"/>
          <w:szCs w:val="33"/>
          <w:bdr w:val="none" w:sz="0" w:space="0" w:color="auto" w:frame="1"/>
        </w:rPr>
        <w:t>.</w:t>
      </w:r>
    </w:p>
    <w:p w14:paraId="3284488F" w14:textId="77777777" w:rsidR="00D21F30" w:rsidRDefault="00B72949" w:rsidP="002642B0">
      <w:pPr>
        <w:pStyle w:val="normal0"/>
        <w:spacing w:line="240" w:lineRule="auto"/>
      </w:pPr>
      <w:hyperlink r:id="rId16" w:history="1">
        <w:r w:rsidR="00D21F30" w:rsidRPr="00CC44E0">
          <w:rPr>
            <w:rStyle w:val="Hyperlink"/>
          </w:rPr>
          <w:t>http://www.sciencedirect.com/science/article/pii/S004484861100281X</w:t>
        </w:r>
      </w:hyperlink>
    </w:p>
    <w:p w14:paraId="17E07509" w14:textId="77777777" w:rsidR="002642B0" w:rsidRPr="002642B0" w:rsidRDefault="00D21F30" w:rsidP="002642B0">
      <w:pPr>
        <w:pStyle w:val="normal0"/>
        <w:rPr>
          <w:i/>
        </w:rPr>
      </w:pPr>
      <w:proofErr w:type="spellStart"/>
      <w:r w:rsidRPr="002642B0">
        <w:rPr>
          <w:bCs/>
          <w:szCs w:val="27"/>
          <w:shd w:val="clear" w:color="auto" w:fill="FFFFFF"/>
        </w:rPr>
        <w:t>Tutar</w:t>
      </w:r>
      <w:proofErr w:type="spellEnd"/>
      <w:r w:rsidRPr="002642B0">
        <w:rPr>
          <w:bCs/>
          <w:szCs w:val="27"/>
          <w:shd w:val="clear" w:color="auto" w:fill="FFFFFF"/>
        </w:rPr>
        <w:t>, Yusuf (</w:t>
      </w:r>
      <w:r w:rsidR="002642B0" w:rsidRPr="002642B0">
        <w:rPr>
          <w:bCs/>
          <w:szCs w:val="27"/>
          <w:shd w:val="clear" w:color="auto" w:fill="FFFFFF"/>
        </w:rPr>
        <w:t>2006) “</w:t>
      </w:r>
      <w:r w:rsidR="002642B0" w:rsidRPr="002642B0">
        <w:rPr>
          <w:szCs w:val="36"/>
        </w:rPr>
        <w:t>Primate Chaperones Hsc70 (Constitutive) and Hsp70 (Induced) Differ Functionally in Supporting Growth and Prion Propagation in</w:t>
      </w:r>
      <w:r w:rsidR="002642B0" w:rsidRPr="002642B0">
        <w:rPr>
          <w:rStyle w:val="apple-converted-space"/>
          <w:szCs w:val="36"/>
        </w:rPr>
        <w:t> </w:t>
      </w:r>
      <w:r w:rsidR="002642B0" w:rsidRPr="002642B0">
        <w:rPr>
          <w:rStyle w:val="Emphasis"/>
          <w:iCs/>
          <w:szCs w:val="36"/>
          <w:bdr w:val="none" w:sz="0" w:space="0" w:color="auto" w:frame="1"/>
        </w:rPr>
        <w:t xml:space="preserve">Saccharomyces </w:t>
      </w:r>
      <w:proofErr w:type="spellStart"/>
      <w:r w:rsidR="002642B0" w:rsidRPr="002642B0">
        <w:rPr>
          <w:rStyle w:val="Emphasis"/>
          <w:iCs/>
          <w:szCs w:val="36"/>
          <w:bdr w:val="none" w:sz="0" w:space="0" w:color="auto" w:frame="1"/>
        </w:rPr>
        <w:t>cerevisiae</w:t>
      </w:r>
      <w:proofErr w:type="spellEnd"/>
      <w:r w:rsidR="002642B0" w:rsidRPr="002642B0">
        <w:rPr>
          <w:rStyle w:val="Emphasis"/>
          <w:iCs/>
          <w:szCs w:val="36"/>
          <w:bdr w:val="none" w:sz="0" w:space="0" w:color="auto" w:frame="1"/>
        </w:rPr>
        <w:t xml:space="preserve">.” </w:t>
      </w:r>
      <w:r w:rsidR="002642B0">
        <w:rPr>
          <w:rStyle w:val="Emphasis"/>
          <w:i w:val="0"/>
          <w:iCs/>
          <w:szCs w:val="36"/>
          <w:bdr w:val="none" w:sz="0" w:space="0" w:color="auto" w:frame="1"/>
        </w:rPr>
        <w:t xml:space="preserve">Genetics. </w:t>
      </w:r>
      <w:r w:rsidR="002642B0" w:rsidRPr="002642B0">
        <w:rPr>
          <w:rStyle w:val="Emphasis"/>
          <w:i w:val="0"/>
          <w:iCs/>
          <w:szCs w:val="36"/>
          <w:bdr w:val="none" w:sz="0" w:space="0" w:color="auto" w:frame="1"/>
        </w:rPr>
        <w:t>172(2)</w:t>
      </w:r>
      <w:proofErr w:type="gramStart"/>
      <w:r w:rsidR="002642B0" w:rsidRPr="002642B0">
        <w:rPr>
          <w:rStyle w:val="Emphasis"/>
          <w:i w:val="0"/>
          <w:iCs/>
          <w:szCs w:val="36"/>
          <w:bdr w:val="none" w:sz="0" w:space="0" w:color="auto" w:frame="1"/>
        </w:rPr>
        <w:t>:851</w:t>
      </w:r>
      <w:proofErr w:type="gramEnd"/>
      <w:r w:rsidR="002642B0" w:rsidRPr="002642B0">
        <w:rPr>
          <w:rStyle w:val="Emphasis"/>
          <w:i w:val="0"/>
          <w:iCs/>
          <w:szCs w:val="36"/>
          <w:bdr w:val="none" w:sz="0" w:space="0" w:color="auto" w:frame="1"/>
        </w:rPr>
        <w:t>-861.</w:t>
      </w:r>
      <w:r w:rsidR="002642B0" w:rsidRPr="002642B0">
        <w:rPr>
          <w:rStyle w:val="Emphasis"/>
          <w:b/>
          <w:i w:val="0"/>
          <w:iCs/>
          <w:szCs w:val="36"/>
          <w:bdr w:val="none" w:sz="0" w:space="0" w:color="auto" w:frame="1"/>
        </w:rPr>
        <w:t xml:space="preserve"> </w:t>
      </w:r>
      <w:hyperlink r:id="rId17" w:history="1">
        <w:r w:rsidR="002642B0" w:rsidRPr="002642B0">
          <w:rPr>
            <w:rStyle w:val="Hyperlink"/>
            <w:i/>
          </w:rPr>
          <w:t>http://www.ncbi.nlm.nih.gov/pmc/articles/PMC1456249/</w:t>
        </w:r>
      </w:hyperlink>
    </w:p>
    <w:p w14:paraId="18F6A101" w14:textId="77777777" w:rsidR="002642B0" w:rsidRDefault="002642B0" w:rsidP="002642B0">
      <w:pPr>
        <w:pStyle w:val="normal0"/>
        <w:spacing w:line="240" w:lineRule="auto"/>
      </w:pPr>
      <w:proofErr w:type="spellStart"/>
      <w:r>
        <w:t>Hamdoun</w:t>
      </w:r>
      <w:proofErr w:type="spellEnd"/>
      <w:r>
        <w:t xml:space="preserve">, </w:t>
      </w:r>
      <w:proofErr w:type="spellStart"/>
      <w:r>
        <w:t>Amro</w:t>
      </w:r>
      <w:proofErr w:type="spellEnd"/>
      <w:r>
        <w:t xml:space="preserve"> M. et al (2003) “Phenotypic Plasticity of HSP70 and HSP70 Gene Expression in the Paciﬁc Oyster (</w:t>
      </w:r>
      <w:proofErr w:type="spellStart"/>
      <w:r>
        <w:t>Crassostrea</w:t>
      </w:r>
      <w:proofErr w:type="spellEnd"/>
      <w:r>
        <w:t xml:space="preserve"> </w:t>
      </w:r>
      <w:proofErr w:type="spellStart"/>
      <w:r>
        <w:t>gigas</w:t>
      </w:r>
      <w:proofErr w:type="spellEnd"/>
      <w:r>
        <w:t xml:space="preserve">): Implications for Thermal Limits and Induction of Thermal Tolerance.” Biol. Bull. 205:160-169. </w:t>
      </w:r>
      <w:hyperlink r:id="rId18" w:history="1">
        <w:r w:rsidRPr="00CC44E0">
          <w:rPr>
            <w:rStyle w:val="Hyperlink"/>
          </w:rPr>
          <w:t>http://www.pacshell.org/pdf/SummermortHamdoun.pdf</w:t>
        </w:r>
      </w:hyperlink>
    </w:p>
    <w:p w14:paraId="488B68D2" w14:textId="77777777" w:rsidR="002642B0" w:rsidRPr="002642B0" w:rsidRDefault="002642B0" w:rsidP="002642B0">
      <w:pPr>
        <w:pStyle w:val="Heading1"/>
        <w:shd w:val="clear" w:color="auto" w:fill="FFFFFF"/>
        <w:spacing w:before="0" w:after="0"/>
        <w:textAlignment w:val="baseline"/>
        <w:rPr>
          <w:b w:val="0"/>
          <w:bCs/>
          <w:sz w:val="22"/>
          <w:szCs w:val="28"/>
        </w:rPr>
      </w:pPr>
      <w:r w:rsidRPr="002642B0">
        <w:rPr>
          <w:b w:val="0"/>
          <w:iCs/>
          <w:sz w:val="22"/>
          <w:szCs w:val="36"/>
          <w:bdr w:val="none" w:sz="0" w:space="0" w:color="auto" w:frame="1"/>
        </w:rPr>
        <w:t xml:space="preserve">Goldfarb, Samuel B. et al (2006) </w:t>
      </w:r>
      <w:r>
        <w:rPr>
          <w:b w:val="0"/>
          <w:iCs/>
          <w:sz w:val="22"/>
          <w:szCs w:val="36"/>
          <w:bdr w:val="none" w:sz="0" w:space="0" w:color="auto" w:frame="1"/>
        </w:rPr>
        <w:t>“</w:t>
      </w:r>
      <w:r w:rsidRPr="002642B0">
        <w:rPr>
          <w:b w:val="0"/>
          <w:bCs/>
          <w:sz w:val="22"/>
          <w:szCs w:val="28"/>
        </w:rPr>
        <w:t>Differential effects of Hsc70 and Hsp70 on the intracellular trafficking and functional expression of epithelial sodium channels</w:t>
      </w:r>
      <w:r>
        <w:rPr>
          <w:b w:val="0"/>
          <w:bCs/>
          <w:sz w:val="22"/>
          <w:szCs w:val="28"/>
        </w:rPr>
        <w:t xml:space="preserve">.” </w:t>
      </w:r>
      <w:proofErr w:type="gramStart"/>
      <w:r w:rsidR="00A507BF">
        <w:rPr>
          <w:b w:val="0"/>
          <w:bCs/>
          <w:sz w:val="22"/>
          <w:szCs w:val="28"/>
        </w:rPr>
        <w:t>Proceedings of the National Academy of Sciences of the United States of America.</w:t>
      </w:r>
      <w:proofErr w:type="gramEnd"/>
      <w:r w:rsidR="00A507BF">
        <w:rPr>
          <w:b w:val="0"/>
          <w:bCs/>
          <w:sz w:val="22"/>
          <w:szCs w:val="28"/>
        </w:rPr>
        <w:t xml:space="preserve"> 103(15)</w:t>
      </w:r>
      <w:proofErr w:type="gramStart"/>
      <w:r w:rsidR="00A507BF">
        <w:rPr>
          <w:b w:val="0"/>
          <w:bCs/>
          <w:sz w:val="22"/>
          <w:szCs w:val="28"/>
        </w:rPr>
        <w:t>:5817</w:t>
      </w:r>
      <w:proofErr w:type="gramEnd"/>
      <w:r w:rsidR="00A507BF">
        <w:rPr>
          <w:b w:val="0"/>
          <w:bCs/>
          <w:sz w:val="22"/>
          <w:szCs w:val="28"/>
        </w:rPr>
        <w:t>-5822.</w:t>
      </w:r>
    </w:p>
    <w:p w14:paraId="274128BE" w14:textId="77777777" w:rsidR="002642B0" w:rsidRPr="002642B0" w:rsidRDefault="00B72949" w:rsidP="002642B0">
      <w:pPr>
        <w:pStyle w:val="normal0"/>
        <w:spacing w:line="240" w:lineRule="auto"/>
        <w:rPr>
          <w:iCs/>
          <w:szCs w:val="36"/>
          <w:bdr w:val="none" w:sz="0" w:space="0" w:color="auto" w:frame="1"/>
        </w:rPr>
      </w:pPr>
      <w:hyperlink r:id="rId19" w:history="1">
        <w:r w:rsidR="00A507BF" w:rsidRPr="00CC44E0">
          <w:rPr>
            <w:rStyle w:val="Hyperlink"/>
          </w:rPr>
          <w:t>http://www.ncbi.nlm.nih.gov/pmc/articles/PMC514856/</w:t>
        </w:r>
      </w:hyperlink>
    </w:p>
    <w:p w14:paraId="09C4BC72" w14:textId="77777777" w:rsidR="00324A15" w:rsidRPr="004B650E" w:rsidRDefault="00324A15">
      <w:pPr>
        <w:pStyle w:val="normal0"/>
      </w:pPr>
    </w:p>
    <w:sectPr w:rsidR="00324A15" w:rsidRPr="004B650E" w:rsidSect="00324A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Roberts" w:date="2012-12-05T05:30:00Z" w:initials="SBR">
    <w:p w14:paraId="0F120DE8" w14:textId="77777777" w:rsidR="00B72949" w:rsidRDefault="00B72949">
      <w:pPr>
        <w:pStyle w:val="CommentText"/>
      </w:pPr>
      <w:r>
        <w:rPr>
          <w:rStyle w:val="CommentReference"/>
        </w:rPr>
        <w:annotationRef/>
      </w:r>
      <w:r>
        <w:t xml:space="preserve">Should include some basics about the life history differences in oyster species. </w:t>
      </w:r>
    </w:p>
  </w:comment>
  <w:comment w:id="1" w:author="Steven Roberts" w:date="2012-12-05T05:29:00Z" w:initials="SBR">
    <w:p w14:paraId="42AC23CB" w14:textId="77777777" w:rsidR="00B72949" w:rsidRDefault="00B72949">
      <w:pPr>
        <w:pStyle w:val="CommentText"/>
      </w:pPr>
      <w:r>
        <w:rPr>
          <w:rStyle w:val="CommentReference"/>
        </w:rPr>
        <w:annotationRef/>
      </w:r>
      <w:r>
        <w:t>Describe what this is.</w:t>
      </w:r>
    </w:p>
  </w:comment>
  <w:comment w:id="2" w:author="Steven Roberts" w:date="2012-12-05T05:32:00Z" w:initials="SBR">
    <w:p w14:paraId="60E60A85" w14:textId="77777777" w:rsidR="00B72949" w:rsidRDefault="00B72949">
      <w:pPr>
        <w:pStyle w:val="CommentText"/>
      </w:pPr>
      <w:r>
        <w:rPr>
          <w:rStyle w:val="CommentReference"/>
        </w:rPr>
        <w:annotationRef/>
      </w:r>
      <w:r>
        <w:t>Results needs to also have paragraphs</w:t>
      </w:r>
    </w:p>
  </w:comment>
  <w:comment w:id="4" w:author="Steven Roberts" w:date="2012-12-05T05:35:00Z" w:initials="SBR">
    <w:p w14:paraId="742E801B" w14:textId="77777777" w:rsidR="00B72949" w:rsidRDefault="00B72949">
      <w:pPr>
        <w:pStyle w:val="CommentText"/>
      </w:pPr>
      <w:r>
        <w:rPr>
          <w:rStyle w:val="CommentReference"/>
        </w:rPr>
        <w:annotationRef/>
      </w:r>
      <w:r>
        <w:t>For discussion you need to id primary findings – then discuss what these mean based on your knowledge AS WELL as how it corresponds to prior research.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trackRevisions/>
  <w:doNotTrackMoves/>
  <w:defaultTabStop w:val="720"/>
  <w:characterSpacingControl w:val="doNotCompress"/>
  <w:compat>
    <w:useFELayout/>
    <w:compatSetting w:name="compatibilityMode" w:uri="http://schemas.microsoft.com/office/word" w:val="12"/>
  </w:compat>
  <w:rsids>
    <w:rsidRoot w:val="00324A15"/>
    <w:rsid w:val="00095DA6"/>
    <w:rsid w:val="00120DC8"/>
    <w:rsid w:val="002642B0"/>
    <w:rsid w:val="00290D94"/>
    <w:rsid w:val="00324A15"/>
    <w:rsid w:val="00463B2F"/>
    <w:rsid w:val="004B650E"/>
    <w:rsid w:val="0062007C"/>
    <w:rsid w:val="00676DA1"/>
    <w:rsid w:val="008F6AAF"/>
    <w:rsid w:val="009F1412"/>
    <w:rsid w:val="00A507BF"/>
    <w:rsid w:val="00A76B2E"/>
    <w:rsid w:val="00B72949"/>
    <w:rsid w:val="00BB6E00"/>
    <w:rsid w:val="00BD5B5E"/>
    <w:rsid w:val="00D21F30"/>
    <w:rsid w:val="00DD6725"/>
    <w:rsid w:val="00E06307"/>
    <w:rsid w:val="00F561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BB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DC8"/>
  </w:style>
  <w:style w:type="paragraph" w:styleId="Heading1">
    <w:name w:val="heading 1"/>
    <w:basedOn w:val="normal0"/>
    <w:next w:val="normal0"/>
    <w:rsid w:val="00324A15"/>
    <w:pPr>
      <w:spacing w:before="480" w:after="120"/>
      <w:outlineLvl w:val="0"/>
    </w:pPr>
    <w:rPr>
      <w:b/>
      <w:sz w:val="36"/>
    </w:rPr>
  </w:style>
  <w:style w:type="paragraph" w:styleId="Heading2">
    <w:name w:val="heading 2"/>
    <w:basedOn w:val="normal0"/>
    <w:next w:val="normal0"/>
    <w:rsid w:val="00324A15"/>
    <w:pPr>
      <w:spacing w:before="360" w:after="80"/>
      <w:outlineLvl w:val="1"/>
    </w:pPr>
    <w:rPr>
      <w:b/>
      <w:sz w:val="28"/>
    </w:rPr>
  </w:style>
  <w:style w:type="paragraph" w:styleId="Heading3">
    <w:name w:val="heading 3"/>
    <w:basedOn w:val="normal0"/>
    <w:next w:val="normal0"/>
    <w:rsid w:val="00324A15"/>
    <w:pPr>
      <w:spacing w:before="280" w:after="80"/>
      <w:outlineLvl w:val="2"/>
    </w:pPr>
    <w:rPr>
      <w:b/>
      <w:color w:val="666666"/>
      <w:sz w:val="24"/>
    </w:rPr>
  </w:style>
  <w:style w:type="paragraph" w:styleId="Heading4">
    <w:name w:val="heading 4"/>
    <w:basedOn w:val="normal0"/>
    <w:next w:val="normal0"/>
    <w:rsid w:val="00324A15"/>
    <w:pPr>
      <w:spacing w:before="240" w:after="40"/>
      <w:outlineLvl w:val="3"/>
    </w:pPr>
    <w:rPr>
      <w:i/>
      <w:color w:val="666666"/>
    </w:rPr>
  </w:style>
  <w:style w:type="paragraph" w:styleId="Heading5">
    <w:name w:val="heading 5"/>
    <w:basedOn w:val="normal0"/>
    <w:next w:val="normal0"/>
    <w:rsid w:val="00324A15"/>
    <w:pPr>
      <w:spacing w:before="220" w:after="40"/>
      <w:outlineLvl w:val="4"/>
    </w:pPr>
    <w:rPr>
      <w:b/>
      <w:color w:val="666666"/>
      <w:sz w:val="20"/>
    </w:rPr>
  </w:style>
  <w:style w:type="paragraph" w:styleId="Heading6">
    <w:name w:val="heading 6"/>
    <w:basedOn w:val="normal0"/>
    <w:next w:val="normal0"/>
    <w:rsid w:val="00324A15"/>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24A15"/>
    <w:pPr>
      <w:spacing w:line="276" w:lineRule="auto"/>
    </w:pPr>
    <w:rPr>
      <w:rFonts w:ascii="Arial" w:eastAsia="Arial" w:hAnsi="Arial" w:cs="Arial"/>
      <w:color w:val="000000"/>
      <w:sz w:val="22"/>
    </w:rPr>
  </w:style>
  <w:style w:type="paragraph" w:styleId="Title">
    <w:name w:val="Title"/>
    <w:basedOn w:val="normal0"/>
    <w:next w:val="normal0"/>
    <w:rsid w:val="00324A15"/>
    <w:pPr>
      <w:spacing w:before="480" w:after="120"/>
    </w:pPr>
    <w:rPr>
      <w:b/>
      <w:sz w:val="72"/>
    </w:rPr>
  </w:style>
  <w:style w:type="paragraph" w:styleId="Subtitle">
    <w:name w:val="Subtitle"/>
    <w:basedOn w:val="normal0"/>
    <w:next w:val="normal0"/>
    <w:rsid w:val="00324A15"/>
    <w:pPr>
      <w:spacing w:before="360" w:after="80"/>
    </w:pPr>
    <w:rPr>
      <w:rFonts w:ascii="Georgia" w:eastAsia="Georgia" w:hAnsi="Georgia" w:cs="Georgia"/>
      <w:i/>
      <w:color w:val="666666"/>
      <w:sz w:val="48"/>
    </w:rPr>
  </w:style>
  <w:style w:type="character" w:styleId="Hyperlink">
    <w:name w:val="Hyperlink"/>
    <w:basedOn w:val="DefaultParagraphFont"/>
    <w:uiPriority w:val="99"/>
    <w:semiHidden/>
    <w:unhideWhenUsed/>
    <w:rsid w:val="004B650E"/>
    <w:rPr>
      <w:color w:val="0000FF" w:themeColor="hyperlink"/>
      <w:u w:val="single"/>
    </w:rPr>
  </w:style>
  <w:style w:type="character" w:styleId="FollowedHyperlink">
    <w:name w:val="FollowedHyperlink"/>
    <w:basedOn w:val="DefaultParagraphFont"/>
    <w:uiPriority w:val="99"/>
    <w:semiHidden/>
    <w:unhideWhenUsed/>
    <w:rsid w:val="00DD6725"/>
    <w:rPr>
      <w:color w:val="800080" w:themeColor="followedHyperlink"/>
      <w:u w:val="single"/>
    </w:rPr>
  </w:style>
  <w:style w:type="character" w:customStyle="1" w:styleId="italic">
    <w:name w:val="italic"/>
    <w:basedOn w:val="DefaultParagraphFont"/>
    <w:rsid w:val="00D21F30"/>
  </w:style>
  <w:style w:type="character" w:customStyle="1" w:styleId="apple-converted-space">
    <w:name w:val="apple-converted-space"/>
    <w:basedOn w:val="DefaultParagraphFont"/>
    <w:rsid w:val="00D21F30"/>
  </w:style>
  <w:style w:type="character" w:styleId="Emphasis">
    <w:name w:val="Emphasis"/>
    <w:basedOn w:val="DefaultParagraphFont"/>
    <w:uiPriority w:val="20"/>
    <w:rsid w:val="00D21F30"/>
    <w:rPr>
      <w:i/>
    </w:rPr>
  </w:style>
  <w:style w:type="character" w:styleId="CommentReference">
    <w:name w:val="annotation reference"/>
    <w:basedOn w:val="DefaultParagraphFont"/>
    <w:uiPriority w:val="99"/>
    <w:semiHidden/>
    <w:unhideWhenUsed/>
    <w:rsid w:val="00B72949"/>
    <w:rPr>
      <w:sz w:val="18"/>
      <w:szCs w:val="18"/>
    </w:rPr>
  </w:style>
  <w:style w:type="paragraph" w:styleId="CommentText">
    <w:name w:val="annotation text"/>
    <w:basedOn w:val="Normal"/>
    <w:link w:val="CommentTextChar"/>
    <w:uiPriority w:val="99"/>
    <w:semiHidden/>
    <w:unhideWhenUsed/>
    <w:rsid w:val="00B72949"/>
  </w:style>
  <w:style w:type="character" w:customStyle="1" w:styleId="CommentTextChar">
    <w:name w:val="Comment Text Char"/>
    <w:basedOn w:val="DefaultParagraphFont"/>
    <w:link w:val="CommentText"/>
    <w:uiPriority w:val="99"/>
    <w:semiHidden/>
    <w:rsid w:val="00B72949"/>
  </w:style>
  <w:style w:type="paragraph" w:styleId="CommentSubject">
    <w:name w:val="annotation subject"/>
    <w:basedOn w:val="CommentText"/>
    <w:next w:val="CommentText"/>
    <w:link w:val="CommentSubjectChar"/>
    <w:uiPriority w:val="99"/>
    <w:semiHidden/>
    <w:unhideWhenUsed/>
    <w:rsid w:val="00B72949"/>
    <w:rPr>
      <w:b/>
      <w:bCs/>
      <w:sz w:val="20"/>
      <w:szCs w:val="20"/>
    </w:rPr>
  </w:style>
  <w:style w:type="character" w:customStyle="1" w:styleId="CommentSubjectChar">
    <w:name w:val="Comment Subject Char"/>
    <w:basedOn w:val="CommentTextChar"/>
    <w:link w:val="CommentSubject"/>
    <w:uiPriority w:val="99"/>
    <w:semiHidden/>
    <w:rsid w:val="00B72949"/>
    <w:rPr>
      <w:b/>
      <w:bCs/>
      <w:sz w:val="20"/>
      <w:szCs w:val="20"/>
    </w:rPr>
  </w:style>
  <w:style w:type="paragraph" w:styleId="BalloonText">
    <w:name w:val="Balloon Text"/>
    <w:basedOn w:val="Normal"/>
    <w:link w:val="BalloonTextChar"/>
    <w:uiPriority w:val="99"/>
    <w:semiHidden/>
    <w:unhideWhenUsed/>
    <w:rsid w:val="00B729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294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98786">
      <w:bodyDiv w:val="1"/>
      <w:marLeft w:val="0"/>
      <w:marRight w:val="0"/>
      <w:marTop w:val="0"/>
      <w:marBottom w:val="0"/>
      <w:divBdr>
        <w:top w:val="none" w:sz="0" w:space="0" w:color="auto"/>
        <w:left w:val="none" w:sz="0" w:space="0" w:color="auto"/>
        <w:bottom w:val="none" w:sz="0" w:space="0" w:color="auto"/>
        <w:right w:val="none" w:sz="0" w:space="0" w:color="auto"/>
      </w:divBdr>
    </w:div>
    <w:div w:id="543949553">
      <w:bodyDiv w:val="1"/>
      <w:marLeft w:val="0"/>
      <w:marRight w:val="0"/>
      <w:marTop w:val="0"/>
      <w:marBottom w:val="0"/>
      <w:divBdr>
        <w:top w:val="none" w:sz="0" w:space="0" w:color="auto"/>
        <w:left w:val="none" w:sz="0" w:space="0" w:color="auto"/>
        <w:bottom w:val="none" w:sz="0" w:space="0" w:color="auto"/>
        <w:right w:val="none" w:sz="0" w:space="0" w:color="auto"/>
      </w:divBdr>
    </w:div>
    <w:div w:id="831407230">
      <w:bodyDiv w:val="1"/>
      <w:marLeft w:val="0"/>
      <w:marRight w:val="0"/>
      <w:marTop w:val="0"/>
      <w:marBottom w:val="0"/>
      <w:divBdr>
        <w:top w:val="none" w:sz="0" w:space="0" w:color="auto"/>
        <w:left w:val="none" w:sz="0" w:space="0" w:color="auto"/>
        <w:bottom w:val="none" w:sz="0" w:space="0" w:color="auto"/>
        <w:right w:val="none" w:sz="0" w:space="0" w:color="auto"/>
      </w:divBdr>
    </w:div>
    <w:div w:id="1656950236">
      <w:bodyDiv w:val="1"/>
      <w:marLeft w:val="0"/>
      <w:marRight w:val="0"/>
      <w:marTop w:val="0"/>
      <w:marBottom w:val="0"/>
      <w:divBdr>
        <w:top w:val="none" w:sz="0" w:space="0" w:color="auto"/>
        <w:left w:val="none" w:sz="0" w:space="0" w:color="auto"/>
        <w:bottom w:val="none" w:sz="0" w:space="0" w:color="auto"/>
        <w:right w:val="none" w:sz="0" w:space="0" w:color="auto"/>
      </w:divBdr>
    </w:div>
    <w:div w:id="16881707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chart" Target="charts/chart8.xml"/><Relationship Id="rId15" Type="http://schemas.openxmlformats.org/officeDocument/2006/relationships/hyperlink" Target="http://herkules.oulu.fi/isbn9514269853/html/c231.html" TargetMode="External"/><Relationship Id="rId16" Type="http://schemas.openxmlformats.org/officeDocument/2006/relationships/hyperlink" Target="http://www.sciencedirect.com/science/article/pii/S004484861100281X" TargetMode="External"/><Relationship Id="rId17" Type="http://schemas.openxmlformats.org/officeDocument/2006/relationships/hyperlink" Target="http://www.ncbi.nlm.nih.gov/pmc/articles/PMC1456249/" TargetMode="External"/><Relationship Id="rId18" Type="http://schemas.openxmlformats.org/officeDocument/2006/relationships/hyperlink" Target="http://www.pacshell.org/pdf/SummermortHamdoun.pdf" TargetMode="External"/><Relationship Id="rId19" Type="http://schemas.openxmlformats.org/officeDocument/2006/relationships/hyperlink" Target="http://www.ncbi.nlm.nih.gov/pmc/articles/PMC514856/"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128.95.149.81/bivalvia/FISH441_normgene_RFUandMiner.xls" TargetMode="External"/><Relationship Id="rId7" Type="http://schemas.openxmlformats.org/officeDocument/2006/relationships/chart" Target="charts/chart1.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unwoo:Desktop:Alex_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kunwoo:Desktop:Alex_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kunwoo:Desktop:Alex_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kunwoo:Desktop:Alex_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kunwoo:Desktop:Alex_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kunwoo:Desktop:Alex_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kunwoo:Desktop:Kate%20Pre-Stress%20qPC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kunwoo:Desktop:Kate%20Pre-Stress%20qPC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HSC70 Pac</a:t>
            </a:r>
          </a:p>
        </c:rich>
      </c:tx>
      <c:layout/>
      <c:overlay val="0"/>
    </c:title>
    <c:autoTitleDeleted val="0"/>
    <c:plotArea>
      <c:layout/>
      <c:barChart>
        <c:barDir val="col"/>
        <c:grouping val="clustered"/>
        <c:varyColors val="0"/>
        <c:ser>
          <c:idx val="0"/>
          <c:order val="0"/>
          <c:invertIfNegative val="0"/>
          <c:cat>
            <c:strRef>
              <c:f>(Sheet1!$B$35:$K$35,Sheet1!$M$35:$P$35)</c:f>
              <c:strCache>
                <c:ptCount val="14"/>
                <c:pt idx="0">
                  <c:v>Cghsc70_1</c:v>
                </c:pt>
                <c:pt idx="1">
                  <c:v>Cghsc70_2</c:v>
                </c:pt>
                <c:pt idx="2">
                  <c:v>Cghsc70_3</c:v>
                </c:pt>
                <c:pt idx="3">
                  <c:v>Cghsc70_4</c:v>
                </c:pt>
                <c:pt idx="4">
                  <c:v>Cghsc70_5</c:v>
                </c:pt>
                <c:pt idx="5">
                  <c:v>Cghsc70_6</c:v>
                </c:pt>
                <c:pt idx="6">
                  <c:v>Cghsc70_7</c:v>
                </c:pt>
                <c:pt idx="7">
                  <c:v>Cghsc70_8</c:v>
                </c:pt>
                <c:pt idx="8">
                  <c:v>Cghsc70_9</c:v>
                </c:pt>
                <c:pt idx="9">
                  <c:v>Cghsc70_10</c:v>
                </c:pt>
                <c:pt idx="10">
                  <c:v>Cghsc70_33</c:v>
                </c:pt>
                <c:pt idx="11">
                  <c:v>Cghsc70_36</c:v>
                </c:pt>
                <c:pt idx="12">
                  <c:v>Cghsc70_39</c:v>
                </c:pt>
                <c:pt idx="13">
                  <c:v>Cghsc70_40</c:v>
                </c:pt>
              </c:strCache>
            </c:strRef>
          </c:cat>
          <c:val>
            <c:numRef>
              <c:f>(Sheet1!$B$40:$K$40,Sheet1!$M$40:$P$40)</c:f>
              <c:numCache>
                <c:formatCode>General</c:formatCode>
                <c:ptCount val="14"/>
                <c:pt idx="0">
                  <c:v>0.00182044829068983</c:v>
                </c:pt>
                <c:pt idx="1">
                  <c:v>0.00117932883843298</c:v>
                </c:pt>
                <c:pt idx="2">
                  <c:v>0.00186855250149831</c:v>
                </c:pt>
                <c:pt idx="3">
                  <c:v>0.00111520665680446</c:v>
                </c:pt>
                <c:pt idx="4">
                  <c:v>0.0079865084983543</c:v>
                </c:pt>
                <c:pt idx="5">
                  <c:v>0.00794267760093257</c:v>
                </c:pt>
                <c:pt idx="6">
                  <c:v>0.00134467500570153</c:v>
                </c:pt>
                <c:pt idx="7">
                  <c:v>3.04456843402754E-5</c:v>
                </c:pt>
                <c:pt idx="8">
                  <c:v>0.000761034361095334</c:v>
                </c:pt>
                <c:pt idx="9">
                  <c:v>0.000627427792222595</c:v>
                </c:pt>
                <c:pt idx="10">
                  <c:v>3.79578456513845E-6</c:v>
                </c:pt>
                <c:pt idx="11">
                  <c:v>4.83273638675134E-7</c:v>
                </c:pt>
                <c:pt idx="12">
                  <c:v>6.93020366511643E-6</c:v>
                </c:pt>
                <c:pt idx="13">
                  <c:v>1.53832204241846E-6</c:v>
                </c:pt>
              </c:numCache>
            </c:numRef>
          </c:val>
        </c:ser>
        <c:dLbls>
          <c:showLegendKey val="0"/>
          <c:showVal val="0"/>
          <c:showCatName val="0"/>
          <c:showSerName val="0"/>
          <c:showPercent val="0"/>
          <c:showBubbleSize val="0"/>
        </c:dLbls>
        <c:gapWidth val="150"/>
        <c:axId val="2118455128"/>
        <c:axId val="2118458136"/>
      </c:barChart>
      <c:catAx>
        <c:axId val="2118455128"/>
        <c:scaling>
          <c:orientation val="minMax"/>
        </c:scaling>
        <c:delete val="0"/>
        <c:axPos val="b"/>
        <c:majorTickMark val="none"/>
        <c:minorTickMark val="none"/>
        <c:tickLblPos val="nextTo"/>
        <c:crossAx val="2118458136"/>
        <c:crossesAt val="0.0"/>
        <c:auto val="1"/>
        <c:lblAlgn val="ctr"/>
        <c:lblOffset val="100"/>
        <c:noMultiLvlLbl val="0"/>
      </c:catAx>
      <c:valAx>
        <c:axId val="2118458136"/>
        <c:scaling>
          <c:logBase val="10.0"/>
          <c:orientation val="minMax"/>
        </c:scaling>
        <c:delete val="0"/>
        <c:axPos val="l"/>
        <c:majorGridlines/>
        <c:numFmt formatCode="General" sourceLinked="1"/>
        <c:majorTickMark val="none"/>
        <c:minorTickMark val="none"/>
        <c:tickLblPos val="nextTo"/>
        <c:crossAx val="21184551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HSC70 Pac</a:t>
            </a:r>
          </a:p>
        </c:rich>
      </c:tx>
      <c:layout/>
      <c:overlay val="0"/>
    </c:title>
    <c:autoTitleDeleted val="0"/>
    <c:plotArea>
      <c:layout/>
      <c:barChart>
        <c:barDir val="col"/>
        <c:grouping val="clustered"/>
        <c:varyColors val="0"/>
        <c:ser>
          <c:idx val="0"/>
          <c:order val="0"/>
          <c:invertIfNegative val="0"/>
          <c:errBars>
            <c:errBarType val="both"/>
            <c:errValType val="cust"/>
            <c:noEndCap val="1"/>
            <c:plus>
              <c:numRef>
                <c:f>Sheet1!$B$45:$C$45</c:f>
                <c:numCache>
                  <c:formatCode>General</c:formatCode>
                  <c:ptCount val="2"/>
                  <c:pt idx="0">
                    <c:v>0.00294769931106766</c:v>
                  </c:pt>
                  <c:pt idx="1">
                    <c:v>2.85251161415968E-6</c:v>
                  </c:pt>
                </c:numCache>
              </c:numRef>
            </c:plus>
            <c:minus>
              <c:numRef>
                <c:f>Sheet1!$B$45:$C$45</c:f>
                <c:numCache>
                  <c:formatCode>General</c:formatCode>
                  <c:ptCount val="2"/>
                  <c:pt idx="0">
                    <c:v>0.00294769931106766</c:v>
                  </c:pt>
                  <c:pt idx="1">
                    <c:v>2.85251161415968E-6</c:v>
                  </c:pt>
                </c:numCache>
              </c:numRef>
            </c:minus>
          </c:errBars>
          <c:cat>
            <c:strRef>
              <c:f>Sheet1!$B$43:$C$43</c:f>
              <c:strCache>
                <c:ptCount val="2"/>
                <c:pt idx="0">
                  <c:v>control</c:v>
                </c:pt>
                <c:pt idx="1">
                  <c:v>treatment</c:v>
                </c:pt>
              </c:strCache>
            </c:strRef>
          </c:cat>
          <c:val>
            <c:numRef>
              <c:f>Sheet1!$B$44:$C$44</c:f>
              <c:numCache>
                <c:formatCode>General</c:formatCode>
                <c:ptCount val="2"/>
                <c:pt idx="0">
                  <c:v>0.00246763052300722</c:v>
                </c:pt>
                <c:pt idx="1">
                  <c:v>3.18689597783712E-6</c:v>
                </c:pt>
              </c:numCache>
            </c:numRef>
          </c:val>
        </c:ser>
        <c:dLbls>
          <c:showLegendKey val="0"/>
          <c:showVal val="0"/>
          <c:showCatName val="0"/>
          <c:showSerName val="0"/>
          <c:showPercent val="0"/>
          <c:showBubbleSize val="0"/>
        </c:dLbls>
        <c:gapWidth val="150"/>
        <c:axId val="2118334568"/>
        <c:axId val="2118337544"/>
      </c:barChart>
      <c:catAx>
        <c:axId val="2118334568"/>
        <c:scaling>
          <c:orientation val="minMax"/>
        </c:scaling>
        <c:delete val="0"/>
        <c:axPos val="b"/>
        <c:majorTickMark val="out"/>
        <c:minorTickMark val="none"/>
        <c:tickLblPos val="nextTo"/>
        <c:crossAx val="2118337544"/>
        <c:crosses val="autoZero"/>
        <c:auto val="1"/>
        <c:lblAlgn val="ctr"/>
        <c:lblOffset val="100"/>
        <c:noMultiLvlLbl val="0"/>
      </c:catAx>
      <c:valAx>
        <c:axId val="2118337544"/>
        <c:scaling>
          <c:orientation val="minMax"/>
        </c:scaling>
        <c:delete val="0"/>
        <c:axPos val="l"/>
        <c:majorGridlines/>
        <c:numFmt formatCode="General" sourceLinked="1"/>
        <c:majorTickMark val="out"/>
        <c:minorTickMark val="none"/>
        <c:tickLblPos val="nextTo"/>
        <c:crossAx val="211833456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HSC70</a:t>
            </a:r>
            <a:r>
              <a:rPr lang="en-US" baseline="0"/>
              <a:t> Oly</a:t>
            </a:r>
          </a:p>
        </c:rich>
      </c:tx>
      <c:layout/>
      <c:overlay val="0"/>
    </c:title>
    <c:autoTitleDeleted val="0"/>
    <c:plotArea>
      <c:layout/>
      <c:barChart>
        <c:barDir val="col"/>
        <c:grouping val="clustered"/>
        <c:varyColors val="0"/>
        <c:ser>
          <c:idx val="0"/>
          <c:order val="0"/>
          <c:invertIfNegative val="0"/>
          <c:cat>
            <c:strRef>
              <c:f>(Sheet1!$R$35:$AA$35,Sheet1!$AC$35:$AK$35)</c:f>
              <c:strCache>
                <c:ptCount val="19"/>
                <c:pt idx="0">
                  <c:v>Ochsc70_51</c:v>
                </c:pt>
                <c:pt idx="1">
                  <c:v>Ochsc70_52</c:v>
                </c:pt>
                <c:pt idx="2">
                  <c:v>Ochsc70_53</c:v>
                </c:pt>
                <c:pt idx="3">
                  <c:v>Ochsc70_54</c:v>
                </c:pt>
                <c:pt idx="4">
                  <c:v>Ochsc70_55</c:v>
                </c:pt>
                <c:pt idx="5">
                  <c:v>Ochsc70_56</c:v>
                </c:pt>
                <c:pt idx="6">
                  <c:v>Ochsc70_57</c:v>
                </c:pt>
                <c:pt idx="7">
                  <c:v>Ochsc70_58</c:v>
                </c:pt>
                <c:pt idx="8">
                  <c:v>Ochsc70_59</c:v>
                </c:pt>
                <c:pt idx="9">
                  <c:v>Ochsc70_60</c:v>
                </c:pt>
                <c:pt idx="10">
                  <c:v>Ochsc70_61</c:v>
                </c:pt>
                <c:pt idx="11">
                  <c:v>Ochsc70_62</c:v>
                </c:pt>
                <c:pt idx="12">
                  <c:v>Ochsc70_70</c:v>
                </c:pt>
                <c:pt idx="13">
                  <c:v>Ochsc70_64</c:v>
                </c:pt>
                <c:pt idx="14">
                  <c:v>Ochsc70_65</c:v>
                </c:pt>
                <c:pt idx="15">
                  <c:v>Ochsc70_66</c:v>
                </c:pt>
                <c:pt idx="16">
                  <c:v>Ochsc70_67</c:v>
                </c:pt>
                <c:pt idx="17">
                  <c:v>Ochsc70_68</c:v>
                </c:pt>
                <c:pt idx="18">
                  <c:v>Ochsc70_69</c:v>
                </c:pt>
              </c:strCache>
            </c:strRef>
          </c:cat>
          <c:val>
            <c:numRef>
              <c:f>(Sheet1!$R$40:$AA$40,Sheet1!$AC$40:$AK$40)</c:f>
              <c:numCache>
                <c:formatCode>General</c:formatCode>
                <c:ptCount val="19"/>
                <c:pt idx="0">
                  <c:v>1.880739001048867</c:v>
                </c:pt>
                <c:pt idx="1">
                  <c:v>1.070327569460522</c:v>
                </c:pt>
                <c:pt idx="2">
                  <c:v>0.067737380667921</c:v>
                </c:pt>
                <c:pt idx="3">
                  <c:v>1.051826436210797</c:v>
                </c:pt>
                <c:pt idx="4">
                  <c:v>1.005072345892128</c:v>
                </c:pt>
                <c:pt idx="5">
                  <c:v>0.62487638558058</c:v>
                </c:pt>
                <c:pt idx="6">
                  <c:v>0.0468133158130229</c:v>
                </c:pt>
                <c:pt idx="7">
                  <c:v>0.895420539664352</c:v>
                </c:pt>
                <c:pt idx="8">
                  <c:v>1.271275451139189</c:v>
                </c:pt>
                <c:pt idx="9">
                  <c:v>1.927557952235673</c:v>
                </c:pt>
                <c:pt idx="10">
                  <c:v>6.232317138869588</c:v>
                </c:pt>
                <c:pt idx="11">
                  <c:v>1.840548759859794</c:v>
                </c:pt>
                <c:pt idx="12">
                  <c:v>0.302395148856692</c:v>
                </c:pt>
                <c:pt idx="13">
                  <c:v>1.770580131954134</c:v>
                </c:pt>
                <c:pt idx="14">
                  <c:v>3.014022061764285</c:v>
                </c:pt>
                <c:pt idx="15">
                  <c:v>4.913078252235787</c:v>
                </c:pt>
                <c:pt idx="16">
                  <c:v>1.067355513403816</c:v>
                </c:pt>
                <c:pt idx="17">
                  <c:v>2.045144382368496</c:v>
                </c:pt>
                <c:pt idx="18">
                  <c:v>1.149207768440855</c:v>
                </c:pt>
              </c:numCache>
            </c:numRef>
          </c:val>
        </c:ser>
        <c:dLbls>
          <c:showLegendKey val="0"/>
          <c:showVal val="0"/>
          <c:showCatName val="0"/>
          <c:showSerName val="0"/>
          <c:showPercent val="0"/>
          <c:showBubbleSize val="0"/>
        </c:dLbls>
        <c:gapWidth val="150"/>
        <c:axId val="2115867000"/>
        <c:axId val="2112261592"/>
      </c:barChart>
      <c:catAx>
        <c:axId val="2115867000"/>
        <c:scaling>
          <c:orientation val="minMax"/>
        </c:scaling>
        <c:delete val="0"/>
        <c:axPos val="b"/>
        <c:majorTickMark val="none"/>
        <c:minorTickMark val="none"/>
        <c:tickLblPos val="nextTo"/>
        <c:crossAx val="2112261592"/>
        <c:crosses val="autoZero"/>
        <c:auto val="1"/>
        <c:lblAlgn val="ctr"/>
        <c:lblOffset val="100"/>
        <c:noMultiLvlLbl val="0"/>
      </c:catAx>
      <c:valAx>
        <c:axId val="2112261592"/>
        <c:scaling>
          <c:orientation val="minMax"/>
        </c:scaling>
        <c:delete val="0"/>
        <c:axPos val="l"/>
        <c:majorGridlines/>
        <c:numFmt formatCode="General" sourceLinked="1"/>
        <c:majorTickMark val="none"/>
        <c:minorTickMark val="none"/>
        <c:tickLblPos val="nextTo"/>
        <c:crossAx val="211586700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HSC70 Oly</a:t>
            </a:r>
          </a:p>
        </c:rich>
      </c:tx>
      <c:layout/>
      <c:overlay val="0"/>
    </c:title>
    <c:autoTitleDeleted val="0"/>
    <c:plotArea>
      <c:layout/>
      <c:barChart>
        <c:barDir val="col"/>
        <c:grouping val="clustered"/>
        <c:varyColors val="0"/>
        <c:ser>
          <c:idx val="0"/>
          <c:order val="0"/>
          <c:invertIfNegative val="0"/>
          <c:errBars>
            <c:errBarType val="both"/>
            <c:errValType val="cust"/>
            <c:noEndCap val="1"/>
            <c:plus>
              <c:numRef>
                <c:f>Sheet1!$T$44:$U$44</c:f>
                <c:numCache>
                  <c:formatCode>General</c:formatCode>
                  <c:ptCount val="2"/>
                  <c:pt idx="0">
                    <c:v>0.63632088666801</c:v>
                  </c:pt>
                  <c:pt idx="1">
                    <c:v>1.933090742602957</c:v>
                  </c:pt>
                </c:numCache>
              </c:numRef>
            </c:plus>
            <c:minus>
              <c:numRef>
                <c:f>Sheet1!$T$44:$U$44</c:f>
                <c:numCache>
                  <c:formatCode>General</c:formatCode>
                  <c:ptCount val="2"/>
                  <c:pt idx="0">
                    <c:v>0.63632088666801</c:v>
                  </c:pt>
                  <c:pt idx="1">
                    <c:v>1.933090742602957</c:v>
                  </c:pt>
                </c:numCache>
              </c:numRef>
            </c:minus>
          </c:errBars>
          <c:cat>
            <c:strRef>
              <c:f>Sheet1!$T$42:$U$42</c:f>
              <c:strCache>
                <c:ptCount val="2"/>
                <c:pt idx="0">
                  <c:v>control</c:v>
                </c:pt>
                <c:pt idx="1">
                  <c:v>treatment</c:v>
                </c:pt>
              </c:strCache>
            </c:strRef>
          </c:cat>
          <c:val>
            <c:numRef>
              <c:f>Sheet1!$T$43:$U$43</c:f>
              <c:numCache>
                <c:formatCode>General</c:formatCode>
                <c:ptCount val="2"/>
                <c:pt idx="0">
                  <c:v>0.984164637771305</c:v>
                </c:pt>
                <c:pt idx="1">
                  <c:v>2.481627684194827</c:v>
                </c:pt>
              </c:numCache>
            </c:numRef>
          </c:val>
        </c:ser>
        <c:dLbls>
          <c:showLegendKey val="0"/>
          <c:showVal val="0"/>
          <c:showCatName val="0"/>
          <c:showSerName val="0"/>
          <c:showPercent val="0"/>
          <c:showBubbleSize val="0"/>
        </c:dLbls>
        <c:gapWidth val="150"/>
        <c:axId val="2112392920"/>
        <c:axId val="2112394328"/>
      </c:barChart>
      <c:catAx>
        <c:axId val="2112392920"/>
        <c:scaling>
          <c:orientation val="minMax"/>
        </c:scaling>
        <c:delete val="0"/>
        <c:axPos val="b"/>
        <c:majorTickMark val="none"/>
        <c:minorTickMark val="none"/>
        <c:tickLblPos val="nextTo"/>
        <c:crossAx val="2112394328"/>
        <c:crosses val="autoZero"/>
        <c:auto val="1"/>
        <c:lblAlgn val="ctr"/>
        <c:lblOffset val="100"/>
        <c:noMultiLvlLbl val="0"/>
      </c:catAx>
      <c:valAx>
        <c:axId val="2112394328"/>
        <c:scaling>
          <c:orientation val="minMax"/>
        </c:scaling>
        <c:delete val="0"/>
        <c:axPos val="l"/>
        <c:majorGridlines/>
        <c:numFmt formatCode="General" sourceLinked="1"/>
        <c:majorTickMark val="none"/>
        <c:minorTickMark val="none"/>
        <c:tickLblPos val="nextTo"/>
        <c:crossAx val="211239292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HSP70 Pac</a:t>
            </a:r>
          </a:p>
        </c:rich>
      </c:tx>
      <c:layout/>
      <c:overlay val="0"/>
    </c:title>
    <c:autoTitleDeleted val="0"/>
    <c:plotArea>
      <c:layout/>
      <c:barChart>
        <c:barDir val="col"/>
        <c:grouping val="clustered"/>
        <c:varyColors val="0"/>
        <c:ser>
          <c:idx val="0"/>
          <c:order val="0"/>
          <c:invertIfNegative val="0"/>
          <c:cat>
            <c:strRef>
              <c:f>(Sheet1!$B$104:$K$104,Sheet1!$N$104:$W$104)</c:f>
              <c:strCache>
                <c:ptCount val="20"/>
                <c:pt idx="0">
                  <c:v>Cghsp70_1</c:v>
                </c:pt>
                <c:pt idx="1">
                  <c:v>Cghsp70_2</c:v>
                </c:pt>
                <c:pt idx="2">
                  <c:v>Cghsp70_3</c:v>
                </c:pt>
                <c:pt idx="3">
                  <c:v>Cghsp70_4</c:v>
                </c:pt>
                <c:pt idx="4">
                  <c:v>Cghsp70_5</c:v>
                </c:pt>
                <c:pt idx="5">
                  <c:v>Cghsp70_6</c:v>
                </c:pt>
                <c:pt idx="6">
                  <c:v>Cghsp70_7</c:v>
                </c:pt>
                <c:pt idx="7">
                  <c:v>Cghsp70_8</c:v>
                </c:pt>
                <c:pt idx="8">
                  <c:v>Cghsp70_9</c:v>
                </c:pt>
                <c:pt idx="9">
                  <c:v>Cghsp70_10</c:v>
                </c:pt>
                <c:pt idx="10">
                  <c:v>Cghsp70_31</c:v>
                </c:pt>
                <c:pt idx="11">
                  <c:v>Cghsp70_32</c:v>
                </c:pt>
                <c:pt idx="12">
                  <c:v>Cghsp70_33</c:v>
                </c:pt>
                <c:pt idx="13">
                  <c:v>Cghsp70_34</c:v>
                </c:pt>
                <c:pt idx="14">
                  <c:v>Cghsp70_35</c:v>
                </c:pt>
                <c:pt idx="15">
                  <c:v>Cghsp70_36</c:v>
                </c:pt>
                <c:pt idx="16">
                  <c:v>Cghsp70_37</c:v>
                </c:pt>
                <c:pt idx="17">
                  <c:v>Cghsp70_38</c:v>
                </c:pt>
                <c:pt idx="18">
                  <c:v>Cghsp70_39</c:v>
                </c:pt>
                <c:pt idx="19">
                  <c:v>Cghsp70_40</c:v>
                </c:pt>
              </c:strCache>
            </c:strRef>
          </c:cat>
          <c:val>
            <c:numRef>
              <c:f>(Sheet1!$B$107:$K$107,Sheet1!$N$107:$W$107)</c:f>
              <c:numCache>
                <c:formatCode>General</c:formatCode>
                <c:ptCount val="20"/>
                <c:pt idx="0">
                  <c:v>0.0110129130646614</c:v>
                </c:pt>
                <c:pt idx="1">
                  <c:v>0.0034168380216126</c:v>
                </c:pt>
                <c:pt idx="2">
                  <c:v>0.0112098742111895</c:v>
                </c:pt>
                <c:pt idx="3">
                  <c:v>0.0123814968053429</c:v>
                </c:pt>
                <c:pt idx="4">
                  <c:v>0.00899807445842315</c:v>
                </c:pt>
                <c:pt idx="5">
                  <c:v>0.0172569144700793</c:v>
                </c:pt>
                <c:pt idx="6">
                  <c:v>0.0168922125833759</c:v>
                </c:pt>
                <c:pt idx="7">
                  <c:v>0.0150153827486041</c:v>
                </c:pt>
                <c:pt idx="8">
                  <c:v>0.0203443129976257</c:v>
                </c:pt>
                <c:pt idx="9">
                  <c:v>0.0131163853536266</c:v>
                </c:pt>
                <c:pt idx="10">
                  <c:v>0.0130753637269891</c:v>
                </c:pt>
                <c:pt idx="11">
                  <c:v>0.0258193696631415</c:v>
                </c:pt>
                <c:pt idx="12">
                  <c:v>0.0228997428671865</c:v>
                </c:pt>
                <c:pt idx="13">
                  <c:v>0.0445786974946374</c:v>
                </c:pt>
                <c:pt idx="14">
                  <c:v>0.0306279691252444</c:v>
                </c:pt>
                <c:pt idx="15">
                  <c:v>0.0197978053281673</c:v>
                </c:pt>
                <c:pt idx="16">
                  <c:v>0.0176733726114024</c:v>
                </c:pt>
                <c:pt idx="17">
                  <c:v>0.0161933437864143</c:v>
                </c:pt>
                <c:pt idx="18">
                  <c:v>0.0526560542254779</c:v>
                </c:pt>
                <c:pt idx="19">
                  <c:v>0.0268433419735561</c:v>
                </c:pt>
              </c:numCache>
            </c:numRef>
          </c:val>
        </c:ser>
        <c:dLbls>
          <c:showLegendKey val="0"/>
          <c:showVal val="0"/>
          <c:showCatName val="0"/>
          <c:showSerName val="0"/>
          <c:showPercent val="0"/>
          <c:showBubbleSize val="0"/>
        </c:dLbls>
        <c:gapWidth val="150"/>
        <c:axId val="2116964952"/>
        <c:axId val="2116966552"/>
      </c:barChart>
      <c:catAx>
        <c:axId val="2116964952"/>
        <c:scaling>
          <c:orientation val="minMax"/>
        </c:scaling>
        <c:delete val="0"/>
        <c:axPos val="b"/>
        <c:majorTickMark val="none"/>
        <c:minorTickMark val="none"/>
        <c:tickLblPos val="nextTo"/>
        <c:crossAx val="2116966552"/>
        <c:crosses val="autoZero"/>
        <c:auto val="1"/>
        <c:lblAlgn val="ctr"/>
        <c:lblOffset val="100"/>
        <c:noMultiLvlLbl val="0"/>
      </c:catAx>
      <c:valAx>
        <c:axId val="2116966552"/>
        <c:scaling>
          <c:orientation val="minMax"/>
        </c:scaling>
        <c:delete val="0"/>
        <c:axPos val="l"/>
        <c:majorGridlines/>
        <c:numFmt formatCode="General" sourceLinked="1"/>
        <c:majorTickMark val="none"/>
        <c:minorTickMark val="none"/>
        <c:tickLblPos val="nextTo"/>
        <c:crossAx val="21169649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HSP70 Pac</a:t>
            </a:r>
          </a:p>
        </c:rich>
      </c:tx>
      <c:layout/>
      <c:overlay val="0"/>
    </c:title>
    <c:autoTitleDeleted val="0"/>
    <c:plotArea>
      <c:layout/>
      <c:barChart>
        <c:barDir val="col"/>
        <c:grouping val="clustered"/>
        <c:varyColors val="0"/>
        <c:ser>
          <c:idx val="0"/>
          <c:order val="0"/>
          <c:invertIfNegative val="0"/>
          <c:errBars>
            <c:errBarType val="both"/>
            <c:errValType val="cust"/>
            <c:noEndCap val="1"/>
            <c:plus>
              <c:numRef>
                <c:f>Sheet1!$B$112:$C$112</c:f>
                <c:numCache>
                  <c:formatCode>General</c:formatCode>
                  <c:ptCount val="2"/>
                  <c:pt idx="0">
                    <c:v>0.00479189424334415</c:v>
                  </c:pt>
                  <c:pt idx="1">
                    <c:v>0.0126849455750212</c:v>
                  </c:pt>
                </c:numCache>
              </c:numRef>
            </c:plus>
            <c:minus>
              <c:numRef>
                <c:f>Sheet1!$B$112:$C$112</c:f>
                <c:numCache>
                  <c:formatCode>General</c:formatCode>
                  <c:ptCount val="2"/>
                  <c:pt idx="0">
                    <c:v>0.00479189424334415</c:v>
                  </c:pt>
                  <c:pt idx="1">
                    <c:v>0.0126849455750212</c:v>
                  </c:pt>
                </c:numCache>
              </c:numRef>
            </c:minus>
          </c:errBars>
          <c:cat>
            <c:strRef>
              <c:f>Sheet1!$B$110:$C$110</c:f>
              <c:strCache>
                <c:ptCount val="2"/>
                <c:pt idx="0">
                  <c:v>control</c:v>
                </c:pt>
                <c:pt idx="1">
                  <c:v>treatment</c:v>
                </c:pt>
              </c:strCache>
            </c:strRef>
          </c:cat>
          <c:val>
            <c:numRef>
              <c:f>Sheet1!$B$111:$C$111</c:f>
              <c:numCache>
                <c:formatCode>General</c:formatCode>
                <c:ptCount val="2"/>
                <c:pt idx="0">
                  <c:v>0.0129644404714541</c:v>
                </c:pt>
                <c:pt idx="1">
                  <c:v>0.0270165060802217</c:v>
                </c:pt>
              </c:numCache>
            </c:numRef>
          </c:val>
        </c:ser>
        <c:dLbls>
          <c:showLegendKey val="0"/>
          <c:showVal val="0"/>
          <c:showCatName val="0"/>
          <c:showSerName val="0"/>
          <c:showPercent val="0"/>
          <c:showBubbleSize val="0"/>
        </c:dLbls>
        <c:gapWidth val="150"/>
        <c:axId val="2116980536"/>
        <c:axId val="2116982408"/>
      </c:barChart>
      <c:catAx>
        <c:axId val="2116980536"/>
        <c:scaling>
          <c:orientation val="minMax"/>
        </c:scaling>
        <c:delete val="0"/>
        <c:axPos val="b"/>
        <c:majorTickMark val="none"/>
        <c:minorTickMark val="none"/>
        <c:tickLblPos val="nextTo"/>
        <c:crossAx val="2116982408"/>
        <c:crosses val="autoZero"/>
        <c:auto val="1"/>
        <c:lblAlgn val="ctr"/>
        <c:lblOffset val="100"/>
        <c:noMultiLvlLbl val="0"/>
      </c:catAx>
      <c:valAx>
        <c:axId val="2116982408"/>
        <c:scaling>
          <c:orientation val="minMax"/>
        </c:scaling>
        <c:delete val="0"/>
        <c:axPos val="l"/>
        <c:majorGridlines/>
        <c:numFmt formatCode="General" sourceLinked="1"/>
        <c:majorTickMark val="none"/>
        <c:minorTickMark val="none"/>
        <c:tickLblPos val="nextTo"/>
        <c:crossAx val="211698053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HSP70 Oly</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(Results!$B$36:$K$36,Results!$M$36:$U$36)</c:f>
              <c:strCache>
                <c:ptCount val="19"/>
                <c:pt idx="0">
                  <c:v>hsp70_51</c:v>
                </c:pt>
                <c:pt idx="1">
                  <c:v>hsp70_52</c:v>
                </c:pt>
                <c:pt idx="2">
                  <c:v>hsp70_53</c:v>
                </c:pt>
                <c:pt idx="3">
                  <c:v>hsp70_54</c:v>
                </c:pt>
                <c:pt idx="4">
                  <c:v>hsp70_55</c:v>
                </c:pt>
                <c:pt idx="5">
                  <c:v>hsp70_56</c:v>
                </c:pt>
                <c:pt idx="6">
                  <c:v>hsp70_57</c:v>
                </c:pt>
                <c:pt idx="7">
                  <c:v>hsp70_58</c:v>
                </c:pt>
                <c:pt idx="8">
                  <c:v>hsp70_59</c:v>
                </c:pt>
                <c:pt idx="9">
                  <c:v>hsp70_60</c:v>
                </c:pt>
                <c:pt idx="10">
                  <c:v>hsp70_61</c:v>
                </c:pt>
                <c:pt idx="11">
                  <c:v>hsp70_62</c:v>
                </c:pt>
                <c:pt idx="12">
                  <c:v>hsp70_70</c:v>
                </c:pt>
                <c:pt idx="13">
                  <c:v>hsp70_64</c:v>
                </c:pt>
                <c:pt idx="14">
                  <c:v>hsp70_65</c:v>
                </c:pt>
                <c:pt idx="15">
                  <c:v>hsp70_66</c:v>
                </c:pt>
                <c:pt idx="16">
                  <c:v>hsp70_67</c:v>
                </c:pt>
                <c:pt idx="17">
                  <c:v>hsp70_68</c:v>
                </c:pt>
                <c:pt idx="18">
                  <c:v>hsp70_69</c:v>
                </c:pt>
              </c:strCache>
            </c:strRef>
          </c:cat>
          <c:val>
            <c:numRef>
              <c:f>(Results!$B$39:$K$39,Results!$M$39:$U$39)</c:f>
              <c:numCache>
                <c:formatCode>General</c:formatCode>
                <c:ptCount val="19"/>
                <c:pt idx="0">
                  <c:v>1.512713524226791</c:v>
                </c:pt>
                <c:pt idx="1">
                  <c:v>1.09885499344482</c:v>
                </c:pt>
                <c:pt idx="2">
                  <c:v>0.0841330200969413</c:v>
                </c:pt>
                <c:pt idx="3">
                  <c:v>0.502299858631374</c:v>
                </c:pt>
                <c:pt idx="4">
                  <c:v>0.444297363488661</c:v>
                </c:pt>
                <c:pt idx="5">
                  <c:v>0.53103697827379</c:v>
                </c:pt>
                <c:pt idx="6">
                  <c:v>0.0293661027750773</c:v>
                </c:pt>
                <c:pt idx="7">
                  <c:v>0.674324851007122</c:v>
                </c:pt>
                <c:pt idx="8">
                  <c:v>0.50759155924202</c:v>
                </c:pt>
                <c:pt idx="9">
                  <c:v>0.568765238771579</c:v>
                </c:pt>
                <c:pt idx="10">
                  <c:v>3.361561639137887</c:v>
                </c:pt>
                <c:pt idx="11">
                  <c:v>1.107952449296994</c:v>
                </c:pt>
                <c:pt idx="12">
                  <c:v>0.810267224718542</c:v>
                </c:pt>
                <c:pt idx="13">
                  <c:v>0.746692188886044</c:v>
                </c:pt>
                <c:pt idx="14">
                  <c:v>60.39021533775958</c:v>
                </c:pt>
                <c:pt idx="15">
                  <c:v>82.4760674314832</c:v>
                </c:pt>
                <c:pt idx="16">
                  <c:v>30.2012147190938</c:v>
                </c:pt>
                <c:pt idx="17">
                  <c:v>7.770439304978405</c:v>
                </c:pt>
                <c:pt idx="18">
                  <c:v>1.973866586765348</c:v>
                </c:pt>
              </c:numCache>
            </c:numRef>
          </c:val>
        </c:ser>
        <c:dLbls>
          <c:showLegendKey val="0"/>
          <c:showVal val="0"/>
          <c:showCatName val="0"/>
          <c:showSerName val="0"/>
          <c:showPercent val="0"/>
          <c:showBubbleSize val="0"/>
        </c:dLbls>
        <c:gapWidth val="150"/>
        <c:shape val="box"/>
        <c:axId val="2111710952"/>
        <c:axId val="2112359896"/>
        <c:axId val="0"/>
      </c:bar3DChart>
      <c:catAx>
        <c:axId val="2111710952"/>
        <c:scaling>
          <c:orientation val="minMax"/>
        </c:scaling>
        <c:delete val="0"/>
        <c:axPos val="b"/>
        <c:majorTickMark val="out"/>
        <c:minorTickMark val="none"/>
        <c:tickLblPos val="nextTo"/>
        <c:crossAx val="2112359896"/>
        <c:crosses val="autoZero"/>
        <c:auto val="1"/>
        <c:lblAlgn val="ctr"/>
        <c:lblOffset val="100"/>
        <c:noMultiLvlLbl val="0"/>
      </c:catAx>
      <c:valAx>
        <c:axId val="2112359896"/>
        <c:scaling>
          <c:orientation val="minMax"/>
        </c:scaling>
        <c:delete val="0"/>
        <c:axPos val="l"/>
        <c:majorGridlines/>
        <c:numFmt formatCode="General" sourceLinked="1"/>
        <c:majorTickMark val="out"/>
        <c:minorTickMark val="none"/>
        <c:tickLblPos val="nextTo"/>
        <c:crossAx val="21117109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HSP70 Oly</a:t>
            </a:r>
          </a:p>
        </c:rich>
      </c:tx>
      <c:layout/>
      <c:overlay val="0"/>
    </c:title>
    <c:autoTitleDeleted val="0"/>
    <c:plotArea>
      <c:layout/>
      <c:barChart>
        <c:barDir val="col"/>
        <c:grouping val="clustered"/>
        <c:varyColors val="0"/>
        <c:ser>
          <c:idx val="0"/>
          <c:order val="0"/>
          <c:invertIfNegative val="0"/>
          <c:errBars>
            <c:errBarType val="both"/>
            <c:errValType val="cust"/>
            <c:noEndCap val="1"/>
            <c:plus>
              <c:numRef>
                <c:f>Results!$F$48:$F$49</c:f>
                <c:numCache>
                  <c:formatCode>General</c:formatCode>
                  <c:ptCount val="2"/>
                  <c:pt idx="0">
                    <c:v>0.438052558772228</c:v>
                  </c:pt>
                  <c:pt idx="1">
                    <c:v>30.57204657996677</c:v>
                  </c:pt>
                </c:numCache>
              </c:numRef>
            </c:plus>
            <c:minus>
              <c:numRef>
                <c:f>Results!$F$48:$F$49</c:f>
                <c:numCache>
                  <c:formatCode>General</c:formatCode>
                  <c:ptCount val="2"/>
                  <c:pt idx="0">
                    <c:v>0.438052558772228</c:v>
                  </c:pt>
                  <c:pt idx="1">
                    <c:v>30.57204657996677</c:v>
                  </c:pt>
                </c:numCache>
              </c:numRef>
            </c:minus>
          </c:errBars>
          <c:cat>
            <c:strRef>
              <c:f>Results!$D$48:$D$49</c:f>
              <c:strCache>
                <c:ptCount val="2"/>
                <c:pt idx="0">
                  <c:v>Control</c:v>
                </c:pt>
                <c:pt idx="1">
                  <c:v>Heat Stress</c:v>
                </c:pt>
              </c:strCache>
            </c:strRef>
          </c:cat>
          <c:val>
            <c:numRef>
              <c:f>Results!$E$48:$E$49</c:f>
              <c:numCache>
                <c:formatCode>General</c:formatCode>
                <c:ptCount val="2"/>
                <c:pt idx="0">
                  <c:v>0.595338348995817</c:v>
                </c:pt>
                <c:pt idx="1">
                  <c:v>20.98203076467998</c:v>
                </c:pt>
              </c:numCache>
            </c:numRef>
          </c:val>
        </c:ser>
        <c:dLbls>
          <c:showLegendKey val="0"/>
          <c:showVal val="0"/>
          <c:showCatName val="0"/>
          <c:showSerName val="0"/>
          <c:showPercent val="0"/>
          <c:showBubbleSize val="0"/>
        </c:dLbls>
        <c:gapWidth val="150"/>
        <c:axId val="2112083208"/>
        <c:axId val="2112084616"/>
      </c:barChart>
      <c:catAx>
        <c:axId val="2112083208"/>
        <c:scaling>
          <c:orientation val="minMax"/>
        </c:scaling>
        <c:delete val="0"/>
        <c:axPos val="b"/>
        <c:majorTickMark val="out"/>
        <c:minorTickMark val="none"/>
        <c:tickLblPos val="nextTo"/>
        <c:crossAx val="2112084616"/>
        <c:crosses val="autoZero"/>
        <c:auto val="1"/>
        <c:lblAlgn val="ctr"/>
        <c:lblOffset val="100"/>
        <c:noMultiLvlLbl val="0"/>
      </c:catAx>
      <c:valAx>
        <c:axId val="2112084616"/>
        <c:scaling>
          <c:orientation val="minMax"/>
        </c:scaling>
        <c:delete val="0"/>
        <c:axPos val="l"/>
        <c:majorGridlines/>
        <c:numFmt formatCode="General" sourceLinked="1"/>
        <c:majorTickMark val="out"/>
        <c:minorTickMark val="none"/>
        <c:tickLblPos val="nextTo"/>
        <c:crossAx val="211208320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1575</Words>
  <Characters>8982</Characters>
  <Application>Microsoft Macintosh Word</Application>
  <DocSecurity>0</DocSecurity>
  <Lines>74</Lines>
  <Paragraphs>21</Paragraphs>
  <ScaleCrop>false</ScaleCrop>
  <Company>US Army</Company>
  <LinksUpToDate>false</LinksUpToDate>
  <CharactersWithSpaces>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 Draft.docx</dc:title>
  <cp:lastModifiedBy>Steven Roberts</cp:lastModifiedBy>
  <cp:revision>10</cp:revision>
  <dcterms:created xsi:type="dcterms:W3CDTF">2012-12-02T07:07:00Z</dcterms:created>
  <dcterms:modified xsi:type="dcterms:W3CDTF">2012-12-05T13:35:00Z</dcterms:modified>
</cp:coreProperties>
</file>